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86B5F01">
      <w:pPr>
        <w:jc w:val="center"/>
        <w:rPr>
          <w:sz w:val="30"/>
          <w:szCs w:val="30"/>
        </w:rPr>
      </w:pPr>
    </w:p>
    <w:p w14:paraId="7BAFD26D">
      <w:pPr>
        <w:jc w:val="both"/>
        <w:rPr>
          <w:sz w:val="30"/>
          <w:szCs w:val="30"/>
        </w:rPr>
      </w:pPr>
    </w:p>
    <w:p w14:paraId="51766C87">
      <w:pPr>
        <w:jc w:val="center"/>
        <w:rPr>
          <w:sz w:val="30"/>
          <w:szCs w:val="30"/>
        </w:rPr>
      </w:pPr>
    </w:p>
    <w:p w14:paraId="342D2356">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花都区“十四五”时期卫生健康事业</w:t>
      </w:r>
    </w:p>
    <w:p w14:paraId="2AA67FB7">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lang w:val="en-US" w:eastAsia="zh-CN" w:bidi="ar"/>
        </w:rPr>
        <w:t>发展规划</w:t>
      </w:r>
    </w:p>
    <w:p w14:paraId="6A7C0064">
      <w:pPr>
        <w:pStyle w:val="11"/>
        <w:keepNext w:val="0"/>
        <w:keepLines w:val="0"/>
        <w:widowControl w:val="0"/>
        <w:suppressLineNumbers w:val="0"/>
        <w:spacing w:before="0" w:beforeAutospacing="0" w:after="0" w:afterAutospacing="0"/>
        <w:ind w:left="0" w:right="0"/>
        <w:jc w:val="center"/>
        <w:rPr>
          <w:rFonts w:hint="default" w:ascii="Calibri" w:hAnsi="Calibri" w:eastAsia="方正小标宋简体" w:cs="Times New Roman"/>
          <w:kern w:val="2"/>
          <w:sz w:val="28"/>
          <w:szCs w:val="28"/>
        </w:rPr>
      </w:pPr>
      <w:r>
        <w:rPr>
          <w:rFonts w:hint="eastAsia" w:ascii="方正小标宋简体" w:hAnsi="方正小标宋简体" w:eastAsia="方正小标宋简体" w:cs="方正小标宋简体"/>
          <w:kern w:val="2"/>
          <w:sz w:val="44"/>
          <w:szCs w:val="44"/>
          <w:lang w:val="en-US" w:eastAsia="zh-CN" w:bidi="ar"/>
        </w:rPr>
        <w:t>（征求意见稿）</w:t>
      </w:r>
    </w:p>
    <w:p w14:paraId="0D81C07C">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left"/>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十四五”时期是开启第二个百年奋斗目标的第一个五年，是持续改善社会民生、统筹城乡发展、建设幸福宜居花都的关键发展期，区卫生健康事业要高举中国特色社会主义思想伟大旗帜，深入学习贯彻党的十九大及十九届三、四、五、六中全会精神，实施健康中国战略，为人民群众提供全方位全周期健康服务，打造健康花都，不断提升人民群众获得感、幸福感，助力实现幸福花都。</w:t>
      </w:r>
    </w:p>
    <w:p w14:paraId="703B0EEA">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kern w:val="2"/>
          <w:sz w:val="32"/>
          <w:szCs w:val="32"/>
        </w:rPr>
      </w:pPr>
      <w:r>
        <w:rPr>
          <w:rFonts w:hint="eastAsia" w:ascii="黑体" w:hAnsi="宋体" w:eastAsia="黑体" w:cs="黑体"/>
          <w:kern w:val="2"/>
          <w:sz w:val="32"/>
          <w:szCs w:val="32"/>
          <w:lang w:val="en-US" w:eastAsia="zh-CN" w:bidi="ar"/>
        </w:rPr>
        <w:t>一、规划背景</w:t>
      </w:r>
    </w:p>
    <w:p w14:paraId="2215CF30">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（一）取得的主要成就</w:t>
      </w:r>
    </w:p>
    <w:p w14:paraId="12A10956">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left"/>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十三五”时期，我区卫生健康系统以习近平新时代中国特色社会主义思想为指引，坚决贯彻党中央、国务院决策部署，全力推进健康花都建设，卫生与健康事业获得长足发展，深化医药卫生体制改革取得丰硕成果，人民健康水平持续提高，基本医疗卫生服务的公平性可及性持续改善，医疗卫生体系经受住了新冠肺炎疫情重大考验。人均期望寿命提高到81.67岁，户籍婴儿死亡率由2.83‰下降到2.11‰，户籍孕产妇死亡率由10.47/10万下降到0/10万，居民健康素养逐年提高，达到33.63% 。医疗机构实有床位数由3800张增加到4303张，医师数由2327人增加到3661人，注册护士数由2807人增加到4289人，全科医师数由335人增加到460人。近几年来花都区医疗卫生工作的群众满意度都维持在较高水平，区内就诊率达到约90%，基层首诊率达到53%，闯出了一条“区强、镇活、村稳、上下联、信息通”新路。“十三五”卫生与健康事业有关规划确定的主要目标和任务基本完成。</w:t>
      </w:r>
    </w:p>
    <w:p w14:paraId="101CFCBA">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bCs/>
          <w:kern w:val="2"/>
          <w:sz w:val="32"/>
          <w:szCs w:val="32"/>
        </w:rPr>
      </w:pPr>
      <w:r>
        <w:rPr>
          <w:rFonts w:hint="eastAsia" w:ascii="楷体" w:hAnsi="楷体" w:eastAsia="楷体" w:cs="楷体"/>
          <w:bCs/>
          <w:kern w:val="2"/>
          <w:sz w:val="32"/>
          <w:szCs w:val="32"/>
          <w:lang w:val="en-US" w:eastAsia="zh-CN" w:bidi="ar"/>
        </w:rPr>
        <w:t>1.医疗卫生服务网络进一步健全。</w:t>
      </w:r>
    </w:p>
    <w:p w14:paraId="443F5EFE">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hAnsi="Calibri" w:eastAsia="仿宋_GB2312" w:cs="Times New Roman"/>
          <w:kern w:val="2"/>
          <w:sz w:val="32"/>
          <w:szCs w:val="32"/>
        </w:rPr>
      </w:pPr>
      <w:r>
        <w:rPr>
          <w:rFonts w:hint="eastAsia" w:ascii="仿宋_GB2312" w:hAnsi="Calibri" w:eastAsia="仿宋_GB2312" w:cs="仿宋_GB2312"/>
          <w:kern w:val="2"/>
          <w:sz w:val="32"/>
          <w:szCs w:val="32"/>
          <w:lang w:val="en-US" w:eastAsia="zh-CN" w:bidi="ar"/>
        </w:rPr>
        <w:t>（1）综合医院和专科医院。完成广州市中西医结合医院住院大楼建设，新增床位600张，已投入使用。中山大学附属仁济医院建设稳步推进。引进广州市妇女儿童医疗中心优质医疗资源。区人民医院新院完成征地拆迁和初步设计。</w:t>
      </w:r>
    </w:p>
    <w:p w14:paraId="736C5AD5">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Calibri" w:hAnsi="Calibri" w:eastAsia="仿宋_GB2312" w:cs="Times New Roman"/>
          <w:bCs/>
          <w:kern w:val="2"/>
          <w:sz w:val="32"/>
          <w:szCs w:val="32"/>
        </w:rPr>
      </w:pPr>
      <w:r>
        <w:rPr>
          <w:rFonts w:hint="eastAsia" w:ascii="仿宋_GB2312" w:hAnsi="Calibri" w:eastAsia="仿宋_GB2312" w:cs="仿宋_GB2312"/>
          <w:kern w:val="2"/>
          <w:sz w:val="32"/>
          <w:szCs w:val="32"/>
          <w:lang w:val="en-US" w:eastAsia="zh-CN" w:bidi="ar"/>
        </w:rPr>
        <w:t>（2）基层医疗机构。完成炭步镇中心卫生院综合大楼建设，并投入使用新增床位157张。完成万科热橙社区卫生服务中心装修并投入使用；完成秀全北社区卫生服务中心、花城街社区卫生服务中心施工招标前期工作。完成完成6家基层医疗机构升级改造，改造后就医环境焕然一新。在花侨卫生院建立</w:t>
      </w:r>
      <w:r>
        <w:rPr>
          <w:rFonts w:hint="eastAsia" w:ascii="仿宋_GB2312" w:hAnsi="Times New Roman" w:eastAsia="仿宋_GB2312" w:cs="仿宋_GB2312"/>
          <w:bCs/>
          <w:kern w:val="2"/>
          <w:sz w:val="32"/>
          <w:szCs w:val="32"/>
          <w:lang w:val="en-US" w:eastAsia="zh-CN" w:bidi="ar"/>
        </w:rPr>
        <w:t>病残吸毒人员收治病区</w:t>
      </w:r>
      <w:r>
        <w:rPr>
          <w:rFonts w:hint="eastAsia" w:ascii="仿宋_GB2312" w:hAnsi="Calibri" w:eastAsia="仿宋_GB2312" w:cs="仿宋_GB2312"/>
          <w:bCs/>
          <w:kern w:val="2"/>
          <w:sz w:val="32"/>
          <w:szCs w:val="32"/>
          <w:lang w:val="en-US" w:eastAsia="zh-CN" w:bidi="ar"/>
        </w:rPr>
        <w:t>，强化</w:t>
      </w:r>
      <w:r>
        <w:rPr>
          <w:rFonts w:hint="eastAsia" w:ascii="仿宋_GB2312" w:hAnsi="Times New Roman" w:eastAsia="仿宋_GB2312" w:cs="仿宋_GB2312"/>
          <w:bCs/>
          <w:kern w:val="2"/>
          <w:sz w:val="32"/>
          <w:szCs w:val="32"/>
          <w:lang w:val="en-US" w:eastAsia="zh-CN" w:bidi="ar"/>
        </w:rPr>
        <w:t>病残吸毒人员</w:t>
      </w:r>
      <w:r>
        <w:rPr>
          <w:rFonts w:hint="eastAsia" w:ascii="仿宋_GB2312" w:hAnsi="Calibri" w:eastAsia="仿宋_GB2312" w:cs="仿宋_GB2312"/>
          <w:bCs/>
          <w:kern w:val="2"/>
          <w:sz w:val="32"/>
          <w:szCs w:val="32"/>
          <w:lang w:val="en-US" w:eastAsia="zh-CN" w:bidi="ar"/>
        </w:rPr>
        <w:t>管理。完成各村卫生站的修缮工作。</w:t>
      </w:r>
    </w:p>
    <w:p w14:paraId="26CFCA1A">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Calibri" w:hAnsi="Calibri" w:eastAsia="仿宋_GB2312" w:cs="Times New Roman"/>
          <w:bCs/>
          <w:kern w:val="2"/>
          <w:sz w:val="32"/>
          <w:szCs w:val="32"/>
        </w:rPr>
      </w:pPr>
      <w:r>
        <w:rPr>
          <w:rFonts w:hint="eastAsia" w:ascii="仿宋_GB2312" w:hAnsi="Calibri" w:eastAsia="仿宋_GB2312" w:cs="仿宋_GB2312"/>
          <w:bCs/>
          <w:kern w:val="2"/>
          <w:sz w:val="32"/>
          <w:szCs w:val="32"/>
          <w:lang w:val="en-US" w:eastAsia="zh-CN" w:bidi="ar"/>
        </w:rPr>
        <w:t>（</w:t>
      </w:r>
      <w:r>
        <w:rPr>
          <w:rFonts w:hint="default" w:ascii="Calibri" w:hAnsi="Calibri" w:eastAsia="仿宋_GB2312" w:cs="Calibri"/>
          <w:bCs/>
          <w:kern w:val="2"/>
          <w:sz w:val="32"/>
          <w:szCs w:val="32"/>
          <w:lang w:val="en-US" w:eastAsia="zh-CN" w:bidi="ar"/>
        </w:rPr>
        <w:t>3</w:t>
      </w:r>
      <w:r>
        <w:rPr>
          <w:rFonts w:hint="eastAsia" w:ascii="仿宋_GB2312" w:hAnsi="Calibri" w:eastAsia="仿宋_GB2312" w:cs="仿宋_GB2312"/>
          <w:bCs/>
          <w:kern w:val="2"/>
          <w:sz w:val="32"/>
          <w:szCs w:val="32"/>
          <w:lang w:val="en-US" w:eastAsia="zh-CN" w:bidi="ar"/>
        </w:rPr>
        <w:t>）公共卫生机构。计划迁建</w:t>
      </w:r>
      <w:r>
        <w:rPr>
          <w:rFonts w:hint="default" w:ascii="Calibri" w:hAnsi="Calibri" w:eastAsia="仿宋_GB2312" w:cs="Calibri"/>
          <w:bCs/>
          <w:kern w:val="2"/>
          <w:sz w:val="32"/>
          <w:szCs w:val="32"/>
          <w:lang w:val="en-US" w:eastAsia="zh-CN" w:bidi="ar"/>
        </w:rPr>
        <w:t>120</w:t>
      </w:r>
      <w:r>
        <w:rPr>
          <w:rFonts w:hint="eastAsia" w:ascii="仿宋_GB2312" w:hAnsi="Calibri" w:eastAsia="仿宋_GB2312" w:cs="仿宋_GB2312"/>
          <w:bCs/>
          <w:kern w:val="2"/>
          <w:sz w:val="32"/>
          <w:szCs w:val="32"/>
          <w:lang w:val="en-US" w:eastAsia="zh-CN" w:bidi="ar"/>
        </w:rPr>
        <w:t>急救指挥中心、区慢病所到尚品雅居公建配套医疗卫生用房，已完成尚品雅居公建配套医疗卫生用房施工招标前期工作。</w:t>
      </w:r>
    </w:p>
    <w:p w14:paraId="31A22A18">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Calibri" w:hAnsi="Calibri" w:eastAsia="仿宋_GB2312" w:cs="Times New Roman"/>
          <w:bCs/>
          <w:kern w:val="2"/>
          <w:sz w:val="32"/>
          <w:szCs w:val="32"/>
        </w:rPr>
      </w:pPr>
      <w:r>
        <w:rPr>
          <w:rFonts w:hint="eastAsia" w:ascii="仿宋_GB2312" w:hAnsi="Calibri" w:eastAsia="仿宋_GB2312" w:cs="仿宋_GB2312"/>
          <w:bCs/>
          <w:kern w:val="2"/>
          <w:sz w:val="32"/>
          <w:szCs w:val="32"/>
          <w:lang w:val="en-US" w:eastAsia="zh-CN" w:bidi="ar"/>
        </w:rPr>
        <w:t>（</w:t>
      </w:r>
      <w:r>
        <w:rPr>
          <w:rFonts w:hint="default" w:ascii="Calibri" w:hAnsi="Calibri" w:eastAsia="仿宋_GB2312" w:cs="Calibri"/>
          <w:bCs/>
          <w:kern w:val="2"/>
          <w:sz w:val="32"/>
          <w:szCs w:val="32"/>
          <w:lang w:val="en-US" w:eastAsia="zh-CN" w:bidi="ar"/>
        </w:rPr>
        <w:t>4</w:t>
      </w:r>
      <w:r>
        <w:rPr>
          <w:rFonts w:hint="eastAsia" w:ascii="仿宋_GB2312" w:hAnsi="Calibri" w:eastAsia="仿宋_GB2312" w:cs="仿宋_GB2312"/>
          <w:bCs/>
          <w:kern w:val="2"/>
          <w:sz w:val="32"/>
          <w:szCs w:val="32"/>
          <w:lang w:val="en-US" w:eastAsia="zh-CN" w:bidi="ar"/>
        </w:rPr>
        <w:t>）社会办医。积极简政放权，支持社会办医，新增圣泉康复医院、华佑戒毒医院、暨博口腔医院、华狄眼科医院等</w:t>
      </w:r>
      <w:r>
        <w:rPr>
          <w:rFonts w:hint="default" w:ascii="Calibri" w:hAnsi="Calibri" w:eastAsia="仿宋_GB2312" w:cs="Calibri"/>
          <w:bCs/>
          <w:kern w:val="2"/>
          <w:sz w:val="32"/>
          <w:szCs w:val="32"/>
          <w:lang w:val="en-US" w:eastAsia="zh-CN" w:bidi="ar"/>
        </w:rPr>
        <w:t>4</w:t>
      </w:r>
      <w:r>
        <w:rPr>
          <w:rFonts w:hint="eastAsia" w:ascii="仿宋_GB2312" w:hAnsi="Calibri" w:eastAsia="仿宋_GB2312" w:cs="仿宋_GB2312"/>
          <w:bCs/>
          <w:kern w:val="2"/>
          <w:sz w:val="32"/>
          <w:szCs w:val="32"/>
          <w:lang w:val="en-US" w:eastAsia="zh-CN" w:bidi="ar"/>
        </w:rPr>
        <w:t>家民营医院，新增</w:t>
      </w:r>
      <w:r>
        <w:rPr>
          <w:rFonts w:hint="default" w:ascii="Calibri" w:hAnsi="Calibri" w:eastAsia="仿宋_GB2312" w:cs="Calibri"/>
          <w:bCs/>
          <w:kern w:val="2"/>
          <w:sz w:val="32"/>
          <w:szCs w:val="32"/>
          <w:lang w:val="en-US" w:eastAsia="zh-CN" w:bidi="ar"/>
        </w:rPr>
        <w:t>134</w:t>
      </w:r>
      <w:r>
        <w:rPr>
          <w:rFonts w:hint="eastAsia" w:ascii="仿宋_GB2312" w:hAnsi="Calibri" w:eastAsia="仿宋_GB2312" w:cs="仿宋_GB2312"/>
          <w:bCs/>
          <w:kern w:val="2"/>
          <w:sz w:val="32"/>
          <w:szCs w:val="32"/>
          <w:lang w:val="en-US" w:eastAsia="zh-CN" w:bidi="ar"/>
        </w:rPr>
        <w:t>家门诊部。</w:t>
      </w:r>
    </w:p>
    <w:p w14:paraId="53A16EF0">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eastAsia" w:ascii="楷体" w:hAnsi="楷体" w:eastAsia="楷体" w:cs="楷体"/>
          <w:b/>
          <w:bCs w:val="0"/>
          <w:kern w:val="2"/>
          <w:sz w:val="32"/>
          <w:szCs w:val="32"/>
        </w:rPr>
      </w:pPr>
      <w:r>
        <w:rPr>
          <w:rFonts w:hint="eastAsia" w:ascii="楷体" w:hAnsi="楷体" w:eastAsia="楷体" w:cs="楷体"/>
          <w:b/>
          <w:bCs w:val="0"/>
          <w:kern w:val="2"/>
          <w:sz w:val="32"/>
          <w:szCs w:val="32"/>
          <w:lang w:val="en-US" w:eastAsia="zh-CN" w:bidi="ar"/>
        </w:rPr>
        <w:t>2.</w:t>
      </w:r>
      <w:r>
        <w:rPr>
          <w:rFonts w:hint="eastAsia" w:ascii="楷体" w:hAnsi="楷体" w:eastAsia="楷体" w:cs="楷体"/>
          <w:kern w:val="2"/>
          <w:sz w:val="32"/>
          <w:szCs w:val="32"/>
          <w:lang w:val="en-US" w:eastAsia="zh-CN" w:bidi="ar"/>
        </w:rPr>
        <w:t>医药卫生体制改革深入推进，取得明显成效。</w:t>
      </w:r>
    </w:p>
    <w:p w14:paraId="13B69FA5">
      <w:pPr>
        <w:pStyle w:val="11"/>
        <w:keepNext w:val="0"/>
        <w:keepLines w:val="0"/>
        <w:pageBreakBefore w:val="0"/>
        <w:widowControl/>
        <w:suppressLineNumbers w:val="0"/>
        <w:kinsoku/>
        <w:wordWrap/>
        <w:overflowPunct/>
        <w:topLinePunct w:val="0"/>
        <w:bidi w:val="0"/>
        <w:spacing w:before="0" w:beforeAutospacing="0" w:after="0" w:afterAutospacing="0" w:line="560" w:lineRule="exact"/>
        <w:ind w:left="0" w:right="0" w:firstLine="640" w:firstLineChars="200"/>
        <w:jc w:val="both"/>
        <w:textAlignment w:val="baseline"/>
        <w:rPr>
          <w:rFonts w:hint="eastAsia" w:ascii="仿宋_GB2312" w:eastAsia="仿宋_GB2312" w:cs="仿宋_GB2312"/>
          <w:kern w:val="0"/>
          <w:sz w:val="32"/>
          <w:szCs w:val="32"/>
          <w:vertAlign w:val="baseline"/>
        </w:rPr>
      </w:pPr>
      <w:r>
        <w:rPr>
          <w:rFonts w:hint="eastAsia" w:ascii="仿宋_GB2312" w:hAnsi="Calibri" w:eastAsia="仿宋_GB2312" w:cs="仿宋_GB2312"/>
          <w:kern w:val="0"/>
          <w:sz w:val="32"/>
          <w:szCs w:val="32"/>
          <w:vertAlign w:val="baseline"/>
          <w:lang w:val="en-US" w:eastAsia="zh-CN" w:bidi="ar"/>
        </w:rPr>
        <w:t>（1）丰富村卫生站“一元钱看病”内涵，筑牢村稳网底。完善镇村一体化管理机制，实现与广州市城乡居民医保的衔接，将乡医编制并入镇卫生院统一管理，不断提升丰富一元钱看病”内涵。（2）实施基层医疗机构一类财政供给二类绩效管理政策，激发基层活力。取消基层医疗机构“收支两条线”管理，设立政策性收支差补助，实施一类财政供给二类绩效管理，有效激发基层活力。基层医疗机构2018年、2019年连续两年门急诊量、出院量同比增长率达两位以上。加强全科医师培养，每万名常住人口全科医生</w:t>
      </w:r>
      <w:r>
        <w:rPr>
          <w:rFonts w:hint="default" w:ascii="Calibri" w:hAnsi="Calibri" w:eastAsia="仿宋_GB2312" w:cs="Calibri"/>
          <w:kern w:val="0"/>
          <w:sz w:val="32"/>
          <w:szCs w:val="32"/>
          <w:vertAlign w:val="baseline"/>
          <w:lang w:val="en-US" w:eastAsia="zh-CN" w:bidi="ar"/>
        </w:rPr>
        <w:t>2.8</w:t>
      </w:r>
      <w:r>
        <w:rPr>
          <w:rFonts w:hint="eastAsia" w:ascii="仿宋_GB2312" w:hAnsi="Calibri" w:eastAsia="仿宋_GB2312" w:cs="仿宋_GB2312"/>
          <w:kern w:val="0"/>
          <w:sz w:val="32"/>
          <w:szCs w:val="32"/>
          <w:vertAlign w:val="baseline"/>
          <w:lang w:val="en-US" w:eastAsia="zh-CN" w:bidi="ar"/>
        </w:rPr>
        <w:t>人。做实家庭医生签约服务，当好群众健康守门人。全区签约覆盖率</w:t>
      </w:r>
      <w:r>
        <w:rPr>
          <w:rFonts w:hint="default" w:ascii="Calibri" w:hAnsi="Calibri" w:eastAsia="仿宋_GB2312" w:cs="Times New Roman"/>
          <w:kern w:val="0"/>
          <w:sz w:val="32"/>
          <w:szCs w:val="32"/>
          <w:vertAlign w:val="baseline"/>
          <w:lang w:val="en-US" w:eastAsia="zh-CN" w:bidi="ar"/>
        </w:rPr>
        <w:t>39%</w:t>
      </w:r>
      <w:r>
        <w:rPr>
          <w:rFonts w:hint="eastAsia" w:ascii="仿宋_GB2312" w:hAnsi="Calibri" w:eastAsia="仿宋_GB2312" w:cs="仿宋_GB2312"/>
          <w:kern w:val="0"/>
          <w:sz w:val="32"/>
          <w:szCs w:val="32"/>
          <w:vertAlign w:val="baseline"/>
          <w:lang w:val="en-US" w:eastAsia="zh-CN" w:bidi="ar"/>
        </w:rPr>
        <w:t>，重点签约覆盖率</w:t>
      </w:r>
      <w:r>
        <w:rPr>
          <w:rFonts w:hint="default" w:ascii="Calibri" w:hAnsi="Calibri" w:eastAsia="仿宋_GB2312" w:cs="Calibri"/>
          <w:kern w:val="0"/>
          <w:sz w:val="32"/>
          <w:szCs w:val="32"/>
          <w:vertAlign w:val="baseline"/>
          <w:lang w:val="en-US" w:eastAsia="zh-CN" w:bidi="ar"/>
        </w:rPr>
        <w:t>71%</w:t>
      </w:r>
      <w:r>
        <w:rPr>
          <w:rFonts w:hint="eastAsia" w:ascii="仿宋_GB2312" w:hAnsi="Calibri" w:eastAsia="仿宋_GB2312" w:cs="仿宋_GB2312"/>
          <w:kern w:val="0"/>
          <w:sz w:val="32"/>
          <w:szCs w:val="32"/>
          <w:vertAlign w:val="baseline"/>
          <w:lang w:val="en-US" w:eastAsia="zh-CN" w:bidi="ar"/>
        </w:rPr>
        <w:t>。加强基层医疗机构设备配置，为</w:t>
      </w:r>
      <w:r>
        <w:rPr>
          <w:rFonts w:hint="default" w:ascii="Calibri" w:hAnsi="Calibri" w:eastAsia="仿宋_GB2312" w:cs="Calibri"/>
          <w:kern w:val="0"/>
          <w:sz w:val="32"/>
          <w:szCs w:val="32"/>
          <w:vertAlign w:val="baseline"/>
          <w:lang w:val="en-US" w:eastAsia="zh-CN" w:bidi="ar"/>
        </w:rPr>
        <w:t>3</w:t>
      </w:r>
      <w:r>
        <w:rPr>
          <w:rFonts w:hint="eastAsia" w:ascii="仿宋_GB2312" w:hAnsi="Calibri" w:eastAsia="仿宋_GB2312" w:cs="仿宋_GB2312"/>
          <w:kern w:val="0"/>
          <w:sz w:val="32"/>
          <w:szCs w:val="32"/>
          <w:vertAlign w:val="baseline"/>
          <w:lang w:val="en-US" w:eastAsia="zh-CN" w:bidi="ar"/>
        </w:rPr>
        <w:t>家基层医疗机构配置</w:t>
      </w:r>
      <w:r>
        <w:rPr>
          <w:rFonts w:hint="default" w:ascii="Calibri" w:hAnsi="Calibri" w:eastAsia="仿宋_GB2312" w:cs="Calibri"/>
          <w:kern w:val="0"/>
          <w:sz w:val="32"/>
          <w:szCs w:val="32"/>
          <w:vertAlign w:val="baseline"/>
          <w:lang w:val="en-US" w:eastAsia="zh-CN" w:bidi="ar"/>
        </w:rPr>
        <w:t>CT</w:t>
      </w:r>
      <w:r>
        <w:rPr>
          <w:rFonts w:hint="eastAsia" w:ascii="仿宋_GB2312" w:hAnsi="Calibri" w:eastAsia="仿宋_GB2312" w:cs="仿宋_GB2312"/>
          <w:kern w:val="0"/>
          <w:sz w:val="32"/>
          <w:szCs w:val="32"/>
          <w:vertAlign w:val="baseline"/>
          <w:lang w:val="en-US" w:eastAsia="zh-CN" w:bidi="ar"/>
        </w:rPr>
        <w:t>。（3）实施公立医院综合改革，推动公立医院高质量发展。先后取消了药品、耗材加成，并同步调整了医疗服务价格，落实政府对公立医院的六大投入，建立公立医院运行新机制。落实建立现代医院管理制度各项任务，加强党对公立医院的领导。对外实施高层次卫生人才引进和柔性引才，共引进了高层次卫生人才34名，专家团队59 个，对内开展名医评选，评选出名医、学科带头人等67名，引领卫生健康事业发展。加强学科培育，目前全区有国家级重点专科1个，省级重点专科8个，市级重点专科17个，区级重点专科19个。加强与医学院校或高水平医院合作，医院整体服务能力得到提升。（4）建立医疗集团和产儿科联盟，实现上下联。组建2家医疗集团和2家产儿科联盟，落实三级功能定位，下沉和共享优质医疗资源，提升基层服务能力，构建分级诊疗制度。（5）</w:t>
      </w:r>
      <w:r>
        <w:rPr>
          <w:rFonts w:hint="eastAsia" w:ascii="仿宋_GB2312" w:hAnsi="宋体" w:eastAsia="仿宋_GB2312" w:cs="仿宋_GB2312"/>
          <w:kern w:val="0"/>
          <w:sz w:val="32"/>
          <w:szCs w:val="32"/>
          <w:vertAlign w:val="baseline"/>
          <w:lang w:val="en-US" w:eastAsia="zh-CN" w:bidi="ar"/>
        </w:rPr>
        <w:t>建立区域卫生信息平台，基本实现了村、镇、区三级医疗机构信息的互联互通、数据共享。全面推进医疗集团远程会诊、影像、心电、检验、查房等服务，促进优质医疗资源下沉，实现数据多跑路、群众少跑腿，不断提升医疗服务均等化、普惠化、便捷化水平。开展互联网便民服务，改善群众就医体验。强化智能化设备运用，为卫生健康事业发展赋能。</w:t>
      </w:r>
    </w:p>
    <w:p w14:paraId="4A8BC267">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hAnsi="Calibri"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2019</w:t>
      </w:r>
      <w:r>
        <w:rPr>
          <w:rFonts w:hint="eastAsia"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8</w:t>
      </w:r>
      <w:r>
        <w:rPr>
          <w:rFonts w:hint="eastAsia" w:ascii="仿宋_GB2312" w:hAnsi="Times New Roman" w:eastAsia="仿宋_GB2312" w:cs="仿宋_GB2312"/>
          <w:kern w:val="2"/>
          <w:sz w:val="32"/>
          <w:szCs w:val="32"/>
          <w:lang w:val="en-US" w:eastAsia="zh-CN" w:bidi="ar"/>
        </w:rPr>
        <w:t>月，我区受国家卫生健康委邀请，在国家城市医联体推进会上做经验介绍。</w:t>
      </w:r>
      <w:r>
        <w:rPr>
          <w:rFonts w:hint="eastAsia" w:ascii="仿宋_GB2312" w:hAnsi="Calibri" w:eastAsia="仿宋_GB2312" w:cs="仿宋_GB2312"/>
          <w:kern w:val="2"/>
          <w:sz w:val="32"/>
          <w:szCs w:val="32"/>
          <w:lang w:val="en-US" w:eastAsia="zh-CN" w:bidi="ar"/>
        </w:rPr>
        <w:t>2019年9月，国家卫生健康委在我区召开医改新闻发布会，推广我区基层医改经验，标志着我区医改工作走在全国前列。2020年6月，中宣部组织的“走向我们的小康生活”的主题采访走进花都，集中推广我区医改经验。</w:t>
      </w:r>
    </w:p>
    <w:p w14:paraId="630EBC58">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楷体" w:hAnsi="楷体" w:eastAsia="楷体" w:cs="楷体"/>
          <w:kern w:val="2"/>
          <w:sz w:val="32"/>
          <w:szCs w:val="32"/>
          <w:lang w:val="en-US" w:eastAsia="zh-CN" w:bidi="ar"/>
        </w:rPr>
        <w:t>3.医疗质量和服务能力稳步提升。</w:t>
      </w:r>
      <w:r>
        <w:rPr>
          <w:rFonts w:hint="eastAsia" w:ascii="仿宋_GB2312" w:hAnsi="Calibri" w:eastAsia="仿宋_GB2312" w:cs="仿宋_GB2312"/>
          <w:kern w:val="2"/>
          <w:sz w:val="32"/>
          <w:szCs w:val="32"/>
          <w:lang w:val="en-US" w:eastAsia="zh-CN" w:bidi="ar"/>
        </w:rPr>
        <w:t>落实进一步改善医疗服务行动计划，全面提升医疗质量和服务能力。2017年区人民医院成功创建三甲综合医院。广州市中西医结合医院第三次通过三甲中西医结合医院复审，2019年区妇幼保健院生殖医学科通过国家人类辅助生殖医疗机构资质评审。区内先后组建了胸痛中心、卒中中心、创伤中心，救治服务体系不断完善，急危重症医疗救治能力不断提高。其中区人民医院、市中西医结合医院医院均通过中国胸痛中心国家级认证，区人民医院挂牌国家级“综合卒中中心”。花山镇卫生院、花东镇北兴卫生院、花东镇中心卫生院和新华社区卫生服务中心成为通过全国“优质服务基层行”创建的基层医疗机构。</w:t>
      </w:r>
    </w:p>
    <w:p w14:paraId="5D149323">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楷体" w:hAnsi="楷体" w:eastAsia="楷体" w:cs="楷体"/>
          <w:kern w:val="2"/>
          <w:sz w:val="32"/>
          <w:szCs w:val="32"/>
          <w:lang w:val="en-US" w:eastAsia="zh-CN" w:bidi="ar"/>
        </w:rPr>
        <w:t>4.中医药服务能力不断提升，中医药事业得到较快发展。</w:t>
      </w:r>
      <w:r>
        <w:rPr>
          <w:rFonts w:hint="eastAsia" w:ascii="仿宋_GB2312" w:hAnsi="Calibri" w:eastAsia="仿宋_GB2312" w:cs="仿宋_GB2312"/>
          <w:kern w:val="2"/>
          <w:sz w:val="32"/>
          <w:szCs w:val="32"/>
          <w:lang w:val="en-US" w:eastAsia="zh-CN" w:bidi="ar"/>
        </w:rPr>
        <w:t>推进中医“治未病”健康促进工程，形成了以区、镇、村三级中医服务网络，基层中医药服务能力明显提升，全区社区卫生服务中心、乡镇卫生院、社区卫生服务站、村卫生室全部提供中医药服务。2017年成功通过“全国基层中医药工作先进单位”复审。加强人才建设，引进符文彬、刘悦等5个团队项目人才，全区拥有省名中医3名，区名医7名，学科带头人11名，高层次后备人才6名，博士生导师1人，硕士生导师11人。获建4个省名医师承项目，3个省级名中医传承工作室，1个省级基层名中医传承工作室，3个市级基层名中医传承工作室。着力发展中医重点专科，包括10个省市重点专科和7个特色专科培育项目建设。市中西医结合医院2017年获得第一个国家认证的中医系统胸痛中心，2017年中药临床药师培训基地获中华中医药学会认定，2018年建成“卒中中心”。2018年和2019年市中西医结合医院在全国三级中西医结合医院综合年度绩效考评中获得A级好成绩。</w:t>
      </w:r>
    </w:p>
    <w:p w14:paraId="7F5B0529">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楷体" w:hAnsi="楷体" w:eastAsia="楷体" w:cs="楷体"/>
          <w:kern w:val="2"/>
          <w:sz w:val="32"/>
          <w:szCs w:val="32"/>
          <w:lang w:val="en-US" w:eastAsia="zh-CN" w:bidi="ar"/>
        </w:rPr>
        <w:t>5.公共卫生整体实力进一步提高。</w:t>
      </w:r>
      <w:r>
        <w:rPr>
          <w:rFonts w:hint="eastAsia" w:ascii="仿宋_GB2312" w:hAnsi="Calibri" w:eastAsia="仿宋_GB2312" w:cs="仿宋_GB2312"/>
          <w:kern w:val="2"/>
          <w:sz w:val="32"/>
          <w:szCs w:val="32"/>
          <w:lang w:val="en-US" w:eastAsia="zh-CN" w:bidi="ar"/>
        </w:rPr>
        <w:t>基本公共卫生服务扎实开展，人均经费补助标准提高到65元。建立健全健康档案及慢性病管理。高血压、糖尿病患者规范管理率、疫苗接种率等指标均达标。艾滋病疫情控制在低流行水平，基本消除或控制重点地方病危害。健全慢性病防治体系，严重精神障碍防治网络不断完善。爱国卫生运动深入开展，成功通过国家卫生城市第三次复审。2019年花都区启动健康促进区创建，</w:t>
      </w:r>
      <w:r>
        <w:rPr>
          <w:rFonts w:hint="eastAsia" w:ascii="仿宋_GB2312" w:hAnsi="Calibri" w:eastAsia="仿宋_GB2312" w:cs="仿宋_GB2312"/>
          <w:b w:val="0"/>
          <w:bCs w:val="0"/>
          <w:kern w:val="2"/>
          <w:sz w:val="32"/>
          <w:szCs w:val="32"/>
          <w:lang w:val="en-US" w:eastAsia="zh-CN" w:bidi="ar"/>
        </w:rPr>
        <w:t>我区成功创建健康社区（村）55个，健康（促进）机关37个，健康促进医院18间，健康(促进）学校150所，其中市级健康（促进）学校19所；健康（促进）企业20间，健康家庭48121户，其中示范健康家庭124户。</w:t>
      </w:r>
      <w:r>
        <w:rPr>
          <w:rFonts w:hint="eastAsia" w:ascii="仿宋_GB2312" w:hAnsi="Calibri" w:eastAsia="仿宋_GB2312" w:cs="仿宋_GB2312"/>
          <w:kern w:val="2"/>
          <w:sz w:val="32"/>
          <w:szCs w:val="32"/>
          <w:lang w:val="en-US" w:eastAsia="zh-CN" w:bidi="ar"/>
        </w:rPr>
        <w:t>健康理念深入民心，居民健康素养水平逐步提升。公共卫生应急管理体系高效运行，传染病报告管理规范，联防联控工作机制不断完善，成功防范和应对登革热、人感染禽流感、新型冠状病毒等突发急性传染病和公共卫生事件。“十三五”期间，全区无甲类传染病报告，乙类传染病发病率为263.04/10 万，逐年下降，丙类传染病发病率为1189.59/10万。卫生综合监督执法进一步加强。在全区基层医疗卫生机构加挂镇（街）疾控中心牌子，推动医防融合发展。面对突如其来的新冠肺炎疫情，广大卫生健康工作者坚决听从习近平总书记和党中央指挥，冲锋在前、救死扶伤，为取得抗疫斗争重大战略成果作出了应有贡献。</w:t>
      </w:r>
    </w:p>
    <w:p w14:paraId="5F599943">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楷体" w:hAnsi="楷体" w:eastAsia="楷体" w:cs="楷体"/>
          <w:kern w:val="2"/>
          <w:sz w:val="32"/>
          <w:szCs w:val="32"/>
          <w:lang w:val="en-US" w:eastAsia="zh-CN" w:bidi="ar"/>
        </w:rPr>
        <w:t>6.积极推进“一老一小”健康服务。</w:t>
      </w:r>
      <w:r>
        <w:rPr>
          <w:rFonts w:hint="eastAsia" w:ascii="仿宋_GB2312" w:hAnsi="Calibri" w:eastAsia="仿宋_GB2312" w:cs="仿宋_GB2312"/>
          <w:kern w:val="2"/>
          <w:sz w:val="32"/>
          <w:szCs w:val="32"/>
          <w:lang w:val="en-US" w:eastAsia="zh-CN" w:bidi="ar"/>
        </w:rPr>
        <w:t>加强两孩政策宣传倡导，依法有序实施全面两孩政策，积极开展关爱女孩行动。深入落实计生家庭奖励扶助政策，推进计生特殊家庭家庭医生签约、就医“绿色通道”、联系人制度等“三个全覆盖”，促进计生家庭幸福。实施免费婚前医学检查、免费孕前优生健康检查和免费产前明显组织结构畸形筛查诊断等出生缺陷干预工程，保障母婴健康安全。着力推进3岁以下婴幼儿照护服务体系建设，指导托育机构开展标准化建设和规范化管理，建设广州市3岁以下婴幼儿照护服务示范点1家。倡导积极老龄化和健康老龄化，为全区60周岁以上老年人办理老年优待卡，积极开展“智慧助老”行动，着力解决老年人运用智能技术障碍问题。开展“银龄安康”专项行动，免费为全区60周岁以上户籍老年人购买老年意外伤害综合保险。在二级以上综合性医院大力推进老年病学科建设，全区有2家综合性医院设置老年病科。全区所有养老机构和居家养老综合服务平台均与邻近的基层医疗机构签订了“医养结合”服务协议，建设全区医养结合机构2家。持续推进社区护理站建设，共设立社区护理站8家，有效延伸了健康养老服务。升级新华街居家养老服务中心服务功能，实现新华街辖区内基层医疗机构与养老机构老年健康信息共享。深入推进我区秀全街朱村作为国家老年人心理关爱试点项目工作，积极开展65岁以上常住老年人分类干预服务。</w:t>
      </w:r>
    </w:p>
    <w:p w14:paraId="4D0B15C4">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（二）存在的主要问题</w:t>
      </w:r>
    </w:p>
    <w:p w14:paraId="45055CA9">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default" w:ascii="楷体_GB2312" w:hAnsi="Calibri" w:eastAsia="楷体_GB2312" w:cs="楷体_GB2312"/>
          <w:kern w:val="2"/>
          <w:sz w:val="32"/>
          <w:szCs w:val="32"/>
          <w:lang w:val="en-US" w:eastAsia="zh-CN" w:bidi="ar"/>
        </w:rPr>
        <w:t>1.医疗资源供给总量不足，优质医疗资源匮乏。</w:t>
      </w:r>
      <w:r>
        <w:rPr>
          <w:rFonts w:hint="eastAsia" w:ascii="仿宋_GB2312" w:hAnsi="Calibri" w:eastAsia="仿宋_GB2312" w:cs="仿宋_GB2312"/>
          <w:kern w:val="0"/>
          <w:sz w:val="32"/>
          <w:szCs w:val="32"/>
          <w:lang w:val="en-US" w:eastAsia="zh-CN" w:bidi="ar"/>
        </w:rPr>
        <w:t>每千常住人口医疗机构床位数2.62张，每千常住人口医师数2.23人，距离2020年国家配置指标每千人口医疗机构床位数 7.0张，每千常住人口执业医师数 3.5人仍有不小距离。优质医疗资源短缺。除中山大学附属仁济医院、广州市妇女儿童医疗中心花都院区、广东省中医临床研究院在建外，我区暂无市属、省部属医院。</w:t>
      </w:r>
      <w:r>
        <w:rPr>
          <w:rFonts w:hint="eastAsia" w:ascii="仿宋_GB2312" w:hAnsi="Calibri" w:eastAsia="仿宋_GB2312" w:cs="仿宋_GB2312"/>
          <w:kern w:val="2"/>
          <w:sz w:val="32"/>
          <w:szCs w:val="32"/>
          <w:lang w:val="en-US" w:eastAsia="zh-CN" w:bidi="ar"/>
        </w:rPr>
        <w:t>部分专科医院数量不足且规模偏小，一些急需的专业如儿科、精神、康复、老年病、护理等发展缓慢。</w:t>
      </w:r>
    </w:p>
    <w:p w14:paraId="4F697118">
      <w:pPr>
        <w:pStyle w:val="3"/>
        <w:keepNext w:val="0"/>
        <w:keepLines w:val="0"/>
        <w:pageBreakBefore w:val="0"/>
        <w:widowControl/>
        <w:suppressLineNumbers w:val="0"/>
        <w:kinsoku/>
        <w:wordWrap/>
        <w:overflowPunct/>
        <w:topLinePunct w:val="0"/>
        <w:bidi w:val="0"/>
        <w:spacing w:before="0" w:beforeAutospacing="0" w:after="0" w:afterAutospacing="0" w:line="560" w:lineRule="exact"/>
        <w:ind w:left="0" w:firstLine="640" w:firstLineChars="200"/>
        <w:rPr>
          <w:rFonts w:hint="eastAsia" w:ascii="仿宋_GB2312" w:hAnsi="宋体" w:eastAsia="仿宋_GB2312" w:cs="宋体"/>
          <w:b/>
          <w:bCs w:val="0"/>
          <w:kern w:val="44"/>
          <w:sz w:val="48"/>
          <w:szCs w:val="48"/>
        </w:rPr>
      </w:pPr>
      <w:r>
        <w:rPr>
          <w:rFonts w:hint="eastAsia" w:ascii="仿宋_GB2312" w:eastAsia="仿宋_GB2312" w:cs="仿宋_GB2312"/>
          <w:b w:val="0"/>
          <w:kern w:val="0"/>
          <w:sz w:val="32"/>
          <w:szCs w:val="32"/>
        </w:rPr>
        <w:t>2.基层服务网底需进一步完善，部分机构规划设置欠合理。目前我区14家公办基层医疗卫生机构，均为上世纪中后期所建，目前仅开展6家基层医疗机构升级改造，服务设施和条件需要持续改善。基层医疗机构覆盖面有待提高，部分镇街暂未实现城市15分钟和农村30分钟卫生服务圈。秀全街仅有一家政府办社区卫生服务中心，规模较小，服务能力不强。</w:t>
      </w:r>
      <w:r>
        <w:rPr>
          <w:rFonts w:hint="eastAsia" w:ascii="仿宋_GB2312" w:hAnsi="Calibri" w:eastAsia="仿宋_GB2312" w:cs="仿宋_GB2312"/>
          <w:b w:val="0"/>
          <w:kern w:val="2"/>
          <w:sz w:val="32"/>
          <w:szCs w:val="32"/>
          <w:lang w:val="en-US" w:eastAsia="zh-CN" w:bidi="ar"/>
        </w:rPr>
        <w:t>社区卫生服务站数量较少，亟需加快建设。</w:t>
      </w:r>
    </w:p>
    <w:p w14:paraId="3A7D4CE7">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hAnsi="Calibri" w:eastAsia="仿宋_GB2312" w:cs="仿宋_GB2312"/>
          <w:kern w:val="2"/>
          <w:sz w:val="32"/>
          <w:szCs w:val="32"/>
          <w:lang w:val="en-US" w:eastAsia="zh-CN" w:bidi="ar"/>
        </w:rPr>
      </w:pPr>
      <w:r>
        <w:rPr>
          <w:rFonts w:hint="eastAsia" w:ascii="仿宋_GB2312" w:hAnsi="Calibri" w:eastAsia="仿宋_GB2312" w:cs="仿宋_GB2312"/>
          <w:kern w:val="2"/>
          <w:sz w:val="32"/>
          <w:szCs w:val="32"/>
          <w:lang w:val="en-US" w:eastAsia="zh-CN" w:bidi="ar"/>
        </w:rPr>
        <w:t>公建配套医疗卫生设施存在如下问题：（1）</w:t>
      </w:r>
      <w:r>
        <w:rPr>
          <w:rFonts w:hint="eastAsia" w:ascii="仿宋_GB2312" w:hAnsi="Calibri" w:eastAsia="仿宋_GB2312" w:cs="仿宋_GB2312"/>
          <w:b/>
          <w:bCs w:val="0"/>
          <w:kern w:val="2"/>
          <w:sz w:val="32"/>
          <w:szCs w:val="32"/>
          <w:lang w:val="en-US" w:eastAsia="zh-CN" w:bidi="ar"/>
        </w:rPr>
        <w:t>标准陈旧偏低。</w:t>
      </w:r>
      <w:r>
        <w:rPr>
          <w:rFonts w:hint="eastAsia" w:ascii="仿宋_GB2312" w:hAnsi="Calibri" w:eastAsia="仿宋_GB2312" w:cs="仿宋_GB2312"/>
          <w:kern w:val="2"/>
          <w:sz w:val="32"/>
          <w:szCs w:val="32"/>
          <w:lang w:val="en-US" w:eastAsia="zh-CN" w:bidi="ar"/>
        </w:rPr>
        <w:t>当前使用的小区公建配套卫生设施社区卫生服务站和社区卫生服务中心面积标准偏低，服务站仅为300m</w:t>
      </w:r>
      <w:r>
        <w:rPr>
          <w:rFonts w:hint="eastAsia" w:ascii="仿宋_GB2312" w:hAnsi="Calibri" w:eastAsia="仿宋_GB2312" w:cs="仿宋_GB2312"/>
          <w:kern w:val="2"/>
          <w:sz w:val="32"/>
          <w:szCs w:val="32"/>
          <w:vertAlign w:val="superscript"/>
          <w:lang w:val="en-US" w:eastAsia="zh-CN" w:bidi="ar"/>
        </w:rPr>
        <w:t>2</w:t>
      </w:r>
      <w:r>
        <w:rPr>
          <w:rFonts w:hint="eastAsia" w:ascii="仿宋_GB2312" w:hAnsi="Calibri" w:eastAsia="仿宋_GB2312" w:cs="仿宋_GB2312"/>
          <w:kern w:val="2"/>
          <w:sz w:val="32"/>
          <w:szCs w:val="32"/>
          <w:lang w:val="en-US" w:eastAsia="zh-CN" w:bidi="ar"/>
        </w:rPr>
        <w:t>，服务中心仅为3000m</w:t>
      </w:r>
      <w:r>
        <w:rPr>
          <w:rFonts w:hint="eastAsia" w:ascii="仿宋_GB2312" w:hAnsi="Calibri" w:eastAsia="仿宋_GB2312" w:cs="仿宋_GB2312"/>
          <w:kern w:val="2"/>
          <w:sz w:val="32"/>
          <w:szCs w:val="32"/>
          <w:vertAlign w:val="superscript"/>
          <w:lang w:val="en-US" w:eastAsia="zh-CN" w:bidi="ar"/>
        </w:rPr>
        <w:t>2</w:t>
      </w:r>
      <w:r>
        <w:rPr>
          <w:rFonts w:hint="eastAsia" w:ascii="仿宋_GB2312" w:hAnsi="Calibri" w:eastAsia="仿宋_GB2312" w:cs="仿宋_GB2312"/>
          <w:kern w:val="2"/>
          <w:sz w:val="32"/>
          <w:szCs w:val="32"/>
          <w:lang w:val="en-US" w:eastAsia="zh-CN" w:bidi="ar"/>
        </w:rPr>
        <w:t>。（2）</w:t>
      </w:r>
      <w:r>
        <w:rPr>
          <w:rFonts w:hint="eastAsia" w:ascii="仿宋_GB2312" w:hAnsi="Calibri" w:eastAsia="仿宋_GB2312" w:cs="仿宋_GB2312"/>
          <w:b/>
          <w:bCs w:val="0"/>
          <w:kern w:val="2"/>
          <w:sz w:val="32"/>
          <w:szCs w:val="32"/>
          <w:lang w:val="en-US" w:eastAsia="zh-CN" w:bidi="ar"/>
        </w:rPr>
        <w:t>规划设置不合理。</w:t>
      </w:r>
      <w:r>
        <w:rPr>
          <w:rFonts w:hint="eastAsia" w:ascii="仿宋_GB2312" w:hAnsi="Calibri" w:eastAsia="仿宋_GB2312" w:cs="仿宋_GB2312"/>
          <w:kern w:val="2"/>
          <w:sz w:val="32"/>
          <w:szCs w:val="32"/>
          <w:lang w:val="en-US" w:eastAsia="zh-CN" w:bidi="ar"/>
        </w:rPr>
        <w:t>部分卫生公建项目规划不符合卫生服务中心（站）设置流程，通风、采光、水电、人员车辆出入、房屋结构等与规范的要求存在差距。相近的小区存在重复规划现象。部分设施未独立设置，建设时遭到小区居民反对，无法建设。</w:t>
      </w:r>
    </w:p>
    <w:p w14:paraId="6DA695E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Calibri" w:hAnsi="Calibri" w:eastAsia="仿宋_GB2312" w:cs="Times New Roman"/>
          <w:kern w:val="2"/>
          <w:sz w:val="32"/>
          <w:szCs w:val="32"/>
          <w:lang w:val="en-US"/>
        </w:rPr>
      </w:pPr>
      <w:r>
        <w:rPr>
          <w:rFonts w:hint="eastAsia" w:ascii="仿宋_GB2312" w:hAnsi="Calibri" w:eastAsia="仿宋_GB2312" w:cs="仿宋_GB2312"/>
          <w:kern w:val="2"/>
          <w:sz w:val="32"/>
          <w:szCs w:val="32"/>
          <w:lang w:val="en-US" w:eastAsia="zh-CN" w:bidi="ar"/>
        </w:rPr>
        <w:t>3.</w:t>
      </w:r>
      <w:r>
        <w:rPr>
          <w:rFonts w:hint="eastAsia" w:ascii="楷体" w:hAnsi="楷体" w:eastAsia="楷体" w:cs="楷体"/>
          <w:kern w:val="2"/>
          <w:sz w:val="32"/>
          <w:szCs w:val="32"/>
          <w:lang w:val="en-US" w:eastAsia="zh-CN" w:bidi="ar"/>
        </w:rPr>
        <w:t>公共卫生机构用房亟需新建。</w:t>
      </w:r>
      <w:r>
        <w:rPr>
          <w:rFonts w:hint="eastAsia" w:ascii="仿宋_GB2312" w:hAnsi="仿宋_GB2312" w:eastAsia="仿宋_GB2312" w:cs="仿宋_GB2312"/>
          <w:color w:val="auto"/>
          <w:sz w:val="32"/>
          <w:szCs w:val="32"/>
          <w:u w:val="none" w:color="auto"/>
          <w:lang w:eastAsia="zh-CN"/>
        </w:rPr>
        <w:t>区血站、区疾病预防控制中心慢病业务业务用房为租赁，区</w:t>
      </w:r>
      <w:r>
        <w:rPr>
          <w:rFonts w:hint="eastAsia" w:ascii="仿宋_GB2312" w:hAnsi="仿宋_GB2312" w:eastAsia="仿宋_GB2312" w:cs="仿宋_GB2312"/>
          <w:color w:val="auto"/>
          <w:sz w:val="32"/>
          <w:szCs w:val="32"/>
          <w:u w:val="none" w:color="auto"/>
          <w:lang w:val="en-US" w:eastAsia="zh-CN"/>
        </w:rPr>
        <w:t>120急救指挥中心业务用房为借用，</w:t>
      </w:r>
      <w:r>
        <w:rPr>
          <w:rFonts w:hint="eastAsia" w:ascii="仿宋_GB2312" w:hAnsi="仿宋_GB2312" w:eastAsia="仿宋_GB2312" w:cs="仿宋_GB2312"/>
          <w:color w:val="auto"/>
          <w:sz w:val="32"/>
          <w:szCs w:val="32"/>
          <w:u w:val="none" w:color="auto"/>
          <w:lang w:eastAsia="zh-CN"/>
        </w:rPr>
        <w:t>区疾病预防控制中心</w:t>
      </w:r>
      <w:r>
        <w:rPr>
          <w:rFonts w:hint="eastAsia" w:ascii="仿宋_GB2312" w:hAnsi="仿宋_GB2312" w:eastAsia="仿宋_GB2312" w:cs="仿宋_GB2312"/>
          <w:color w:val="auto"/>
          <w:sz w:val="32"/>
          <w:szCs w:val="32"/>
          <w:u w:val="none" w:color="auto"/>
          <w:lang w:val="en-US" w:eastAsia="zh-CN"/>
        </w:rPr>
        <w:t>业务用房陈旧、面积不足，公共卫生机构用房亟需新建。</w:t>
      </w:r>
    </w:p>
    <w:p w14:paraId="46D4F227">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hAnsi="Calibri" w:eastAsia="仿宋_GB2312" w:cs="Times New Roman"/>
          <w:kern w:val="2"/>
          <w:sz w:val="32"/>
          <w:szCs w:val="32"/>
        </w:rPr>
      </w:pPr>
      <w:r>
        <w:rPr>
          <w:rFonts w:hint="eastAsia" w:ascii="仿宋_GB2312" w:hAnsi="Calibri" w:eastAsia="仿宋_GB2312" w:cs="仿宋_GB2312"/>
          <w:kern w:val="2"/>
          <w:sz w:val="32"/>
          <w:szCs w:val="32"/>
          <w:lang w:val="en-US" w:eastAsia="zh-CN" w:bidi="ar"/>
        </w:rPr>
        <w:t>4.</w:t>
      </w:r>
      <w:r>
        <w:rPr>
          <w:rFonts w:hint="eastAsia" w:ascii="楷体" w:hAnsi="楷体" w:eastAsia="楷体" w:cs="楷体"/>
          <w:kern w:val="2"/>
          <w:sz w:val="32"/>
          <w:szCs w:val="32"/>
          <w:lang w:val="en-US" w:eastAsia="zh-CN" w:bidi="ar"/>
        </w:rPr>
        <w:t>经费保障不足</w:t>
      </w:r>
      <w:r>
        <w:rPr>
          <w:rFonts w:hint="eastAsia" w:ascii="仿宋_GB2312" w:hAnsi="Calibri" w:eastAsia="仿宋_GB2312" w:cs="仿宋_GB2312"/>
          <w:kern w:val="2"/>
          <w:sz w:val="32"/>
          <w:szCs w:val="32"/>
          <w:lang w:val="en-US" w:eastAsia="zh-CN" w:bidi="ar"/>
        </w:rPr>
        <w:t>。近年来，由于经济下行压力加大，区财政资金困难，导致很多医疗卫生建设项目无法正常开展，人才引进补助标准偏低，无法吸引优质人才。经费保障问题，一定程度上制约了我区卫生健康事业持续健康发展。</w:t>
      </w:r>
    </w:p>
    <w:p w14:paraId="33818306">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（三）“十四五”时期面临的机遇和挑战</w:t>
      </w:r>
    </w:p>
    <w:p w14:paraId="0FCE1395">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eastAsia" w:ascii="仿宋_GB2312" w:eastAsia="仿宋_GB2312" w:cs="仿宋_GB2312"/>
          <w:b/>
          <w:bCs/>
          <w:kern w:val="2"/>
          <w:sz w:val="32"/>
          <w:szCs w:val="32"/>
        </w:rPr>
      </w:pPr>
      <w:r>
        <w:rPr>
          <w:rFonts w:hint="eastAsia" w:ascii="仿宋_GB2312" w:hAnsi="Calibri" w:eastAsia="仿宋_GB2312" w:cs="仿宋_GB2312"/>
          <w:b/>
          <w:bCs/>
          <w:kern w:val="2"/>
          <w:sz w:val="32"/>
          <w:szCs w:val="32"/>
          <w:lang w:val="en-US" w:eastAsia="zh-CN" w:bidi="ar"/>
        </w:rPr>
        <w:t>1.存在的机遇</w:t>
      </w:r>
    </w:p>
    <w:p w14:paraId="2E8E3382">
      <w:pPr>
        <w:pStyle w:val="3"/>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rPr>
          <w:rFonts w:hint="eastAsia" w:ascii="仿宋_GB2312" w:hAnsi="Calibri" w:eastAsia="仿宋_GB2312" w:cs="宋体"/>
          <w:b w:val="0"/>
          <w:kern w:val="2"/>
          <w:sz w:val="32"/>
          <w:szCs w:val="32"/>
          <w:shd w:val="clear" w:fill="FFFFFF"/>
        </w:rPr>
      </w:pPr>
      <w:r>
        <w:rPr>
          <w:rFonts w:hint="eastAsia" w:ascii="仿宋_GB2312" w:eastAsia="仿宋_GB2312" w:cs="仿宋_GB2312"/>
          <w:b/>
          <w:bCs/>
          <w:kern w:val="44"/>
          <w:sz w:val="32"/>
          <w:szCs w:val="32"/>
          <w:shd w:val="clear" w:fill="FFFFFF"/>
        </w:rPr>
        <w:t xml:space="preserve">   </w:t>
      </w:r>
      <w:r>
        <w:rPr>
          <w:rFonts w:hint="eastAsia" w:ascii="仿宋_GB2312" w:hAnsi="Calibri" w:eastAsia="仿宋_GB2312" w:cs="宋体"/>
          <w:b w:val="0"/>
          <w:kern w:val="2"/>
          <w:sz w:val="32"/>
          <w:szCs w:val="32"/>
          <w:shd w:val="clear" w:fill="FFFFFF"/>
        </w:rPr>
        <w:t xml:space="preserve"> </w:t>
      </w:r>
      <w:r>
        <w:rPr>
          <w:rFonts w:hint="eastAsia" w:ascii="仿宋_GB2312" w:hAnsi="Calibri" w:eastAsia="仿宋_GB2312" w:cs="仿宋_GB2312"/>
          <w:b/>
          <w:bCs/>
          <w:kern w:val="2"/>
          <w:sz w:val="32"/>
          <w:szCs w:val="32"/>
          <w:shd w:val="clear" w:fill="FFFFFF"/>
        </w:rPr>
        <w:t>一是</w:t>
      </w:r>
      <w:r>
        <w:rPr>
          <w:rFonts w:hint="eastAsia" w:ascii="仿宋_GB2312" w:hAnsi="Calibri" w:eastAsia="仿宋_GB2312" w:cs="仿宋_GB2312"/>
          <w:b w:val="0"/>
          <w:kern w:val="2"/>
          <w:sz w:val="32"/>
          <w:szCs w:val="32"/>
          <w:shd w:val="clear" w:fill="FFFFFF"/>
        </w:rPr>
        <w:t>党中央、国务院高度重视卫生健康事业。党中央、国务院把把人民健康放在优先发展的战略地位，制定了《"健康中国2030"规划纲要》和《关于促进中医药传承创新发展的意见》，《中华人民共和国基本医疗卫生与健康促进法》出台并实施。《中共中央关于制定国民经济和社会发展第十四个五年规划和二〇三五年远景目标的建议》提出了“全面推进健康中国建设”的重大任务。国家、省、市将对“十四五”时期卫生健康事业制定明确规划，为我区发展卫生健康事业指明了发展方向，提供基本遵循。</w:t>
      </w:r>
    </w:p>
    <w:p w14:paraId="49886A62">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eastAsia" w:ascii="仿宋_GB2312" w:eastAsia="仿宋_GB2312" w:cs="仿宋_GB2312"/>
          <w:kern w:val="2"/>
          <w:sz w:val="32"/>
          <w:szCs w:val="32"/>
        </w:rPr>
      </w:pPr>
      <w:r>
        <w:rPr>
          <w:rFonts w:hint="eastAsia" w:ascii="仿宋_GB2312" w:hAnsi="Calibri" w:eastAsia="仿宋_GB2312" w:cs="仿宋_GB2312"/>
          <w:b/>
          <w:bCs/>
          <w:kern w:val="2"/>
          <w:sz w:val="32"/>
          <w:szCs w:val="32"/>
          <w:lang w:val="en-US" w:eastAsia="zh-CN" w:bidi="ar"/>
        </w:rPr>
        <w:t>二是</w:t>
      </w:r>
      <w:r>
        <w:rPr>
          <w:rFonts w:hint="eastAsia" w:ascii="仿宋_GB2312" w:hAnsi="Calibri" w:eastAsia="仿宋_GB2312" w:cs="仿宋_GB2312"/>
          <w:kern w:val="2"/>
          <w:sz w:val="32"/>
          <w:szCs w:val="32"/>
          <w:lang w:val="en-US" w:eastAsia="zh-CN" w:bidi="ar"/>
        </w:rPr>
        <w:t>地理区位优势为卫生健康事业发展提供了广阔空间。花都位于粤港澳大湾区核心区，交通体系发达，具有独特的空铁联运资源，随着大湾区建设深入推进，将有利于我区加快补齐医疗设施短板。花都具有良好的生态环境，为发展休闲健康、养老服务等提供了独有的发展空间。</w:t>
      </w:r>
    </w:p>
    <w:p w14:paraId="0A3640E8">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eastAsia" w:ascii="仿宋_GB2312" w:eastAsia="仿宋_GB2312" w:cs="仿宋_GB2312"/>
          <w:kern w:val="2"/>
          <w:sz w:val="32"/>
          <w:szCs w:val="32"/>
        </w:rPr>
      </w:pPr>
      <w:r>
        <w:rPr>
          <w:rFonts w:hint="eastAsia" w:ascii="仿宋_GB2312" w:hAnsi="Calibri" w:eastAsia="仿宋_GB2312" w:cs="仿宋_GB2312"/>
          <w:b/>
          <w:bCs/>
          <w:kern w:val="2"/>
          <w:sz w:val="32"/>
          <w:szCs w:val="32"/>
          <w:lang w:val="en-US" w:eastAsia="zh-CN" w:bidi="ar"/>
        </w:rPr>
        <w:t>三是</w:t>
      </w:r>
      <w:r>
        <w:rPr>
          <w:rFonts w:hint="eastAsia" w:ascii="仿宋_GB2312" w:hAnsi="Calibri" w:eastAsia="仿宋_GB2312" w:cs="仿宋_GB2312"/>
          <w:kern w:val="2"/>
          <w:sz w:val="32"/>
          <w:szCs w:val="32"/>
          <w:lang w:val="en-US" w:eastAsia="zh-CN" w:bidi="ar"/>
        </w:rPr>
        <w:t>群众意识觉醒为卫生健康事业发展提供了有力条件。新冠肺炎疫情的暴</w:t>
      </w:r>
      <w:bookmarkStart w:id="0" w:name="_GoBack"/>
      <w:bookmarkEnd w:id="0"/>
      <w:r>
        <w:rPr>
          <w:rFonts w:hint="eastAsia" w:ascii="仿宋_GB2312" w:hAnsi="Calibri" w:eastAsia="仿宋_GB2312" w:cs="仿宋_GB2312"/>
          <w:kern w:val="2"/>
          <w:sz w:val="32"/>
          <w:szCs w:val="32"/>
          <w:lang w:val="en-US" w:eastAsia="zh-CN" w:bidi="ar"/>
        </w:rPr>
        <w:t>发，对群众生命安全带了威胁的同时也改变了群众生活态度与生活方式，国家从立法上规范了人们的饮食习惯，群众从行为上更加注重日常防护，形成了最广泛的公共卫生基础。医务人员展现出的无私奉献精神，社会展现出来的强大凝聚力，都对群众心灵产生强烈震撼，这些都将有利于改善人与自然、人与人的相处方式，有效提升民众健康觉悟，为卫生健康事业发展提供了发展基础。</w:t>
      </w:r>
    </w:p>
    <w:p w14:paraId="0EA1AD65">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default" w:ascii="楷体_GB2312" w:eastAsia="楷体_GB2312" w:cs="楷体_GB2312"/>
          <w:b/>
          <w:bCs/>
          <w:kern w:val="2"/>
          <w:sz w:val="32"/>
          <w:szCs w:val="32"/>
        </w:rPr>
      </w:pPr>
      <w:r>
        <w:rPr>
          <w:rFonts w:hint="default" w:ascii="楷体_GB2312" w:hAnsi="Calibri" w:eastAsia="楷体_GB2312" w:cs="楷体_GB2312"/>
          <w:b/>
          <w:bCs/>
          <w:kern w:val="2"/>
          <w:sz w:val="32"/>
          <w:szCs w:val="32"/>
          <w:lang w:val="en-US" w:eastAsia="zh-CN" w:bidi="ar"/>
        </w:rPr>
        <w:t>2.面临的挑战</w:t>
      </w:r>
    </w:p>
    <w:p w14:paraId="40FA7628">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楷体_GB2312" w:eastAsia="仿宋_GB2312" w:cs="楷体_GB2312"/>
          <w:kern w:val="2"/>
          <w:sz w:val="32"/>
          <w:szCs w:val="32"/>
        </w:rPr>
      </w:pPr>
      <w:r>
        <w:rPr>
          <w:rFonts w:hint="eastAsia" w:ascii="仿宋_GB2312" w:hAnsi="Calibri" w:eastAsia="仿宋_GB2312" w:cs="仿宋_GB2312"/>
          <w:kern w:val="2"/>
          <w:sz w:val="32"/>
          <w:szCs w:val="32"/>
          <w:lang w:val="en-US" w:eastAsia="zh-CN" w:bidi="ar"/>
        </w:rPr>
        <w:t>（1）医疗资源总量不足，结构不均衡。全区每千人口床位数、执业医师数、注册护士数等有待提高，医疗资源总量不足。全区优质医疗资源匮乏，暂无开业运营的省部属、市属医院。（2）重大传染性疾病威胁依然存在。我国新冠肺炎疫情得到了有效控制，但国外疫情形势依然十分严竣，国内三大航空枢纽之一白云机场位于我区，我区外防输入的压力依然巨大。随着经济社会转型加快，境内外交流的日趋频繁，加大了传染病疫情和病媒生物输入风险。</w:t>
      </w:r>
      <w:r>
        <w:rPr>
          <w:rFonts w:hint="eastAsia" w:ascii="仿宋_GB2312" w:hAnsi="Calibri" w:eastAsia="仿宋_GB2312" w:cs="仿宋_GB2312"/>
          <w:b/>
          <w:bCs/>
          <w:kern w:val="2"/>
          <w:sz w:val="32"/>
          <w:szCs w:val="32"/>
          <w:lang w:val="en-US" w:eastAsia="zh-CN" w:bidi="ar"/>
        </w:rPr>
        <w:t>（3）</w:t>
      </w:r>
      <w:r>
        <w:rPr>
          <w:rFonts w:hint="eastAsia" w:ascii="仿宋_GB2312" w:hAnsi="Calibri" w:eastAsia="仿宋_GB2312" w:cs="仿宋_GB2312"/>
          <w:kern w:val="2"/>
          <w:sz w:val="32"/>
          <w:szCs w:val="32"/>
          <w:lang w:val="en-US" w:eastAsia="zh-CN" w:bidi="ar"/>
        </w:rPr>
        <w:t>人口发展进入关键转折期，老龄化和少子化并存，要求加快服务体系适老。随着人口老龄化不断加快，基层医疗卫生机构的基本公共卫生服务项目增多，服务任务在不断加重，基层医疗卫生机构也面临转变服务方式，由于受场地、编制所限，基层医疗卫生机构开展医养结合服务面临诸多挑战。</w:t>
      </w:r>
    </w:p>
    <w:p w14:paraId="2149CE84">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kern w:val="2"/>
          <w:sz w:val="32"/>
          <w:szCs w:val="32"/>
        </w:rPr>
      </w:pPr>
      <w:r>
        <w:rPr>
          <w:rFonts w:hint="eastAsia" w:ascii="黑体" w:hAnsi="宋体" w:eastAsia="黑体" w:cs="黑体"/>
          <w:kern w:val="2"/>
          <w:sz w:val="32"/>
          <w:szCs w:val="32"/>
          <w:lang w:val="en-US" w:eastAsia="zh-CN" w:bidi="ar"/>
        </w:rPr>
        <w:t>二、指导思想和发展目标</w:t>
      </w:r>
    </w:p>
    <w:p w14:paraId="458024AB">
      <w:pPr>
        <w:pStyle w:val="11"/>
        <w:keepNext w:val="0"/>
        <w:keepLines w:val="0"/>
        <w:pageBreakBefore w:val="0"/>
        <w:widowControl w:val="0"/>
        <w:suppressLineNumbers w:val="0"/>
        <w:kinsoku/>
        <w:wordWrap/>
        <w:overflowPunct/>
        <w:topLinePunct w:val="0"/>
        <w:autoSpaceDE w:val="0"/>
        <w:autoSpaceDN w:val="0"/>
        <w:bidi w:val="0"/>
        <w:adjustRightInd w:val="0"/>
        <w:spacing w:before="0" w:beforeLines="0" w:beforeAutospacing="0" w:after="0" w:afterLines="0" w:afterAutospacing="0" w:line="560" w:lineRule="exact"/>
        <w:ind w:left="0" w:right="0" w:firstLine="640" w:firstLineChars="200"/>
        <w:jc w:val="left"/>
        <w:rPr>
          <w:rFonts w:hint="eastAsia" w:ascii="楷体" w:hAnsi="楷体" w:eastAsia="楷体" w:cs="楷体"/>
          <w:sz w:val="32"/>
          <w:szCs w:val="32"/>
        </w:rPr>
      </w:pPr>
      <w:r>
        <w:rPr>
          <w:rFonts w:hint="eastAsia" w:ascii="楷体" w:hAnsi="楷体" w:eastAsia="楷体" w:cs="楷体"/>
          <w:color w:val="000000"/>
          <w:kern w:val="0"/>
          <w:sz w:val="32"/>
          <w:szCs w:val="32"/>
          <w:lang w:val="en-US" w:eastAsia="zh-CN" w:bidi="ar"/>
        </w:rPr>
        <w:t>（一）指导思想</w:t>
      </w:r>
    </w:p>
    <w:p w14:paraId="0BDC8AFA">
      <w:pPr>
        <w:pStyle w:val="11"/>
        <w:keepNext w:val="0"/>
        <w:keepLines w:val="0"/>
        <w:pageBreakBefore w:val="0"/>
        <w:widowControl w:val="0"/>
        <w:suppressLineNumbers w:val="0"/>
        <w:kinsoku/>
        <w:wordWrap/>
        <w:overflowPunct/>
        <w:topLinePunct w:val="0"/>
        <w:autoSpaceDE w:val="0"/>
        <w:autoSpaceDN w:val="0"/>
        <w:bidi w:val="0"/>
        <w:adjustRightInd w:val="0"/>
        <w:spacing w:before="0" w:beforeLines="0" w:beforeAutospacing="0" w:after="0" w:afterLines="0" w:afterAutospacing="0" w:line="560" w:lineRule="exact"/>
        <w:ind w:left="0" w:right="0" w:firstLine="640" w:firstLineChars="200"/>
        <w:jc w:val="left"/>
        <w:rPr>
          <w:rFonts w:hint="eastAsia" w:ascii="仿宋_GB2312" w:eastAsia="仿宋_GB2312" w:cs="仿宋_GB2312"/>
          <w:sz w:val="32"/>
          <w:szCs w:val="32"/>
        </w:rPr>
      </w:pPr>
      <w:r>
        <w:rPr>
          <w:rFonts w:hint="eastAsia" w:ascii="仿宋_GB2312" w:hAnsi="仿宋P裧.粛嵐." w:eastAsia="仿宋_GB2312" w:cs="仿宋_GB2312"/>
          <w:color w:val="000000"/>
          <w:kern w:val="0"/>
          <w:sz w:val="32"/>
          <w:szCs w:val="32"/>
          <w:lang w:val="en-US" w:eastAsia="zh-CN" w:bidi="ar"/>
        </w:rPr>
        <w:t>以习近平新时代中国特色社会主义思想为指导，坚持党对卫生健康工作的领导，坚持新发展理念，坚持稳中求进工作总基调，坚持新时代卫生健康工作方针，牢固树立大卫生、大健康理念，全面推进健康中国建设，更加注重预防为主和风险防范，更加注重提高质量和促进均衡，更加注重资源下沉和系统协作，建立稳定的公共卫生事业投入机制</w:t>
      </w:r>
      <w:r>
        <w:rPr>
          <w:rFonts w:hint="eastAsia" w:ascii="微软雅黑" w:hAnsi="微软雅黑" w:eastAsia="微软雅黑" w:cs="微软雅黑"/>
          <w:color w:val="000000"/>
          <w:spacing w:val="8"/>
          <w:kern w:val="0"/>
          <w:sz w:val="27"/>
          <w:szCs w:val="27"/>
          <w:shd w:val="clear" w:fill="FFFFFF"/>
          <w:lang w:val="en-US" w:eastAsia="zh-CN" w:bidi="ar"/>
        </w:rPr>
        <w:t>，</w:t>
      </w:r>
      <w:r>
        <w:rPr>
          <w:rFonts w:hint="eastAsia" w:ascii="仿宋_GB2312" w:hAnsi="仿宋P裧.粛嵐." w:eastAsia="仿宋_GB2312" w:cs="仿宋_GB2312"/>
          <w:color w:val="000000"/>
          <w:kern w:val="0"/>
          <w:sz w:val="32"/>
          <w:szCs w:val="32"/>
          <w:lang w:val="en-US" w:eastAsia="zh-CN" w:bidi="ar"/>
        </w:rPr>
        <w:t>完善硬件基础设施建设，实施健康中国行动，持续深化医药卫生体制改革，加强公共卫生体系建设，提升医疗服务能力，增强应急处置能力，加强对“一老一小”及妇儿等重点人群的卫生健康服务，推动中医药传承创新发展，增强人才、信息化保障，为人民群众提供全方位全周期健康服务，不断满足人民群众卫生健康需求。</w:t>
      </w:r>
    </w:p>
    <w:p w14:paraId="25CDC64D">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（二）基本原则</w:t>
      </w:r>
    </w:p>
    <w:p w14:paraId="32AB449F">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1.坚持把保障人民健康放在优先发展的战略位置。切实把保障人民健康融入经济社会发展各项政策，发展理念体现健康优先，发展规划突出健康目标，公共政策制定要评估对健康的影响，推动形成有利于健康的生活方式、生产方式和制度体系，实现健康与经济社会协调发展。</w:t>
      </w:r>
    </w:p>
    <w:p w14:paraId="15FC3E94">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2.坚持大卫生大健康的理念。把预防为主摆在更加突出位置，推动卫生与健康事业发展从以治病为中心向以人民健康为中心转变。要在资源配置和资金投入方面向公共卫生工作倾斜，更多用在疾病前期因素干预、重点人群健康促进和重点疾病防治上。要建立政府、社会和个人共同行动的体制机制，强化个人是自己健康第一责任人理念，推进健康花都建设人人参与、人人尽责、人人共享。</w:t>
      </w:r>
    </w:p>
    <w:p w14:paraId="4CE1BDBF">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3.坚持基本医疗卫生事业公益属性。坚持公立医院在我国医疗服务体系中的主体地位，毫不动摇地坚持公益性的导向。要建立稳定的公共卫生事业投入机制。要切实担负起卫生健康事业发展的领导、保障、管理和监督责任，同时充分发挥市场机制的作用，鼓励社会力量增加产品和服务供给，更好满足群众多元化卫生健康需求。</w:t>
      </w:r>
    </w:p>
    <w:p w14:paraId="1D19CDEB">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 xml:space="preserve">  4.坚持以改革创新激发卫生健康事业活力。深化医疗、医保、医药联动改革，深化医改。要围绕制约卫生健康领域的体制机制障碍，更加注重医改的系统集成、协同高效，推进卫生与健康领域的供给侧结构性改革，提高健康供给对需求变化的适应性和灵活性。同时，要推进卫生健康领域理论创新、制度创新、管理创新、技术创新，增强卫生健康治理体系整体效能。</w:t>
      </w:r>
    </w:p>
    <w:p w14:paraId="587778F6">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jc w:val="both"/>
        <w:rPr>
          <w:rFonts w:hint="eastAsia" w:ascii="仿宋_GB2312" w:eastAsia="仿宋_GB2312" w:cs="仿宋_GB2312"/>
          <w:kern w:val="0"/>
          <w:sz w:val="32"/>
          <w:szCs w:val="32"/>
          <w:shd w:val="clear" w:fill="FFFFFF"/>
        </w:rPr>
      </w:pPr>
      <w:r>
        <w:rPr>
          <w:rFonts w:hint="eastAsia" w:ascii="仿宋_GB2312" w:hAnsi="宋体" w:eastAsia="仿宋_GB2312" w:cs="仿宋_GB2312"/>
          <w:kern w:val="0"/>
          <w:sz w:val="32"/>
          <w:szCs w:val="32"/>
          <w:shd w:val="clear" w:fill="FFFFFF"/>
          <w:lang w:val="en-US" w:eastAsia="zh-CN" w:bidi="ar"/>
        </w:rPr>
        <w:t xml:space="preserve">  5.坚持补短板强弱项。当前，我区医疗卫生事业发展不平衡不充分，包括优质医疗资源短缺，基层服务能力不强等问题，也包括重治疗、轻预防的问题，公共卫生应急体系发展滞后，监测预警、流调溯源、物资储备等难以适应应对重大突发公共卫生事件的需要。要坚持目标导向和问题导向相结合，加快补齐短板和弱项，把基本卫生健康服务体系建设得更加完善，进一步提高服务的公平性和可及性。</w:t>
      </w:r>
    </w:p>
    <w:p w14:paraId="5F258B4A">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kern w:val="2"/>
          <w:sz w:val="32"/>
          <w:szCs w:val="32"/>
        </w:rPr>
      </w:pPr>
      <w:r>
        <w:rPr>
          <w:rFonts w:hint="eastAsia" w:ascii="楷体" w:hAnsi="楷体" w:eastAsia="楷体" w:cs="楷体"/>
          <w:kern w:val="2"/>
          <w:sz w:val="32"/>
          <w:szCs w:val="32"/>
          <w:lang w:val="en-US" w:eastAsia="zh-CN" w:bidi="ar"/>
        </w:rPr>
        <w:t>（三）发展目标</w:t>
      </w:r>
    </w:p>
    <w:p w14:paraId="0BD84ACE">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0"/>
          <w:sz w:val="32"/>
          <w:szCs w:val="32"/>
          <w:lang w:val="en-US" w:eastAsia="zh-CN" w:bidi="ar"/>
        </w:rPr>
        <w:t>到2025年，要实现基本公共服务均等化水平明显提高，卫生健康体系更加完善，突发公共事件应急能力显著增强，人均预期寿命在2020年基础上提高1岁，为2035年基本建成健康中国的远景目标奠定坚实基础。</w:t>
      </w:r>
    </w:p>
    <w:p w14:paraId="2810F8E6">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——优质高效的医疗卫生服务体系加快建立。医疗卫生网络进一步织密织牢，服务能力大幅提升，质量和效率稳步提升，更好满足人民群众基本医疗卫生服务需求和多样化、多层次健康需求。</w:t>
      </w:r>
    </w:p>
    <w:p w14:paraId="74C9B2A0">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公共卫生服务能力有效提升。疾病预防控制体系进一步健全，应对突发重大公共卫生事件能力和水平不断提升，消除一批重大疾病，有效防控新冠肺炎等传染病。预防为主，关口前移，普及健康生活方式，提升居民健康素养，有效控制健康危险因素。</w:t>
      </w:r>
    </w:p>
    <w:p w14:paraId="4124E57F">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——健康服务模式实现转变。机构间的分工协作更加紧密，家庭医生签约服务内涵不断提升，分级诊疗制度更加成熟。</w:t>
      </w:r>
    </w:p>
    <w:p w14:paraId="22C59754">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480"/>
        <w:jc w:val="both"/>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lang w:val="en-US" w:eastAsia="zh-CN" w:bidi="ar"/>
        </w:rPr>
        <w:t xml:space="preserve"> </w:t>
      </w:r>
    </w:p>
    <w:p w14:paraId="473D49F1">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jc w:val="center"/>
        <w:rPr>
          <w:rFonts w:hint="eastAsia" w:ascii="宋体" w:hAnsi="宋体" w:eastAsia="宋体" w:cs="宋体"/>
          <w:kern w:val="0"/>
          <w:sz w:val="24"/>
          <w:szCs w:val="24"/>
          <w:shd w:val="clear" w:fill="FFFFFF"/>
        </w:rPr>
      </w:pPr>
      <w:r>
        <w:rPr>
          <w:rFonts w:hint="eastAsia" w:ascii="宋体" w:hAnsi="宋体" w:eastAsia="宋体" w:cs="宋体"/>
          <w:b/>
          <w:bCs/>
          <w:kern w:val="0"/>
          <w:sz w:val="20"/>
          <w:szCs w:val="20"/>
          <w:shd w:val="clear" w:fill="FFFFFF"/>
          <w:lang w:val="en-US" w:eastAsia="zh-CN" w:bidi="ar"/>
        </w:rPr>
        <w:t>主 要 发 展 指 标</w:t>
      </w:r>
      <w:r>
        <w:rPr>
          <w:rFonts w:hint="default" w:ascii="Calibri" w:hAnsi="Calibri" w:eastAsia="宋体" w:cs="Times New Roman"/>
          <w:kern w:val="0"/>
          <w:sz w:val="32"/>
          <w:szCs w:val="32"/>
          <w:shd w:val="clear" w:fill="FFFFFF"/>
          <w:lang w:val="en-US" w:eastAsia="zh-CN" w:bidi="ar"/>
        </w:rPr>
        <w:t xml:space="preserve"> </w:t>
      </w:r>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80"/>
        <w:gridCol w:w="1660"/>
        <w:gridCol w:w="1420"/>
        <w:gridCol w:w="1420"/>
        <w:gridCol w:w="1421"/>
        <w:gridCol w:w="1421"/>
      </w:tblGrid>
      <w:tr w14:paraId="75CB8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8" w:hRule="atLeast"/>
          <w:jc w:val="center"/>
        </w:trPr>
        <w:tc>
          <w:tcPr>
            <w:tcW w:w="1180"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D21E562">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领域</w:t>
            </w: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8AEED33">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主要指标</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6B614B2">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单位</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2D7A25B">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2025年</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DC3BC36">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2020年</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52D016D2">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指标性质</w:t>
            </w:r>
          </w:p>
        </w:tc>
      </w:tr>
      <w:tr w14:paraId="176EB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restart"/>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14:paraId="31268326">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健康水平</w:t>
            </w: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1B8992C">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人均预期寿命</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09E5903">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岁</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F50921D">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＞8</w:t>
            </w:r>
            <w:r>
              <w:rPr>
                <w:rFonts w:hint="eastAsia" w:ascii="宋体" w:hAnsi="宋体" w:eastAsia="宋体" w:cs="宋体"/>
                <w:kern w:val="0"/>
                <w:sz w:val="20"/>
                <w:szCs w:val="20"/>
                <w:lang w:val="en-US" w:eastAsia="zh-CN" w:bidi="ar"/>
              </w:rPr>
              <w:t>3.0</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CF76957">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81.67</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21A3AE1">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14:paraId="06D8D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14:paraId="0358A193">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FE185E8">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孕产妇死亡率</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6738812">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/10万</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762A2F1">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≦12</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C7D959E">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A3A0F73">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14:paraId="1EAA5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14:paraId="7BF6B197">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67F48D5">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婴儿死亡率</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FB1A3FC">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780C148">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≦3</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F7744D4">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≦2.11</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691912D">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14:paraId="7ADF1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0BF81D1">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健康生活</w:t>
            </w: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77C1980A">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居民健康素养水平</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D74064F">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6844192">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＞34</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2F694AD">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33.63</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4F0BAA0">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14:paraId="4B3F7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restart"/>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14:paraId="57A4D3D7">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健康服务</w:t>
            </w: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378A5CD">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每千人口医疗卫生机构床位数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1E94E7F">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张</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33C9529">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4</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54F77A3D">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2.62</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7B0D4511">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14:paraId="1AC27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14:paraId="0BCCDD9B">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04E2E30">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每千人口执业（助理）医师数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4A65CFB">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人</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3B1668F">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3.5</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7CDC1800">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2.23</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55B6F30">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14:paraId="24DB0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14:paraId="0DDC32B4">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89A65EF">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每千人口注册护士数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9580A40">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人</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7772AE36">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4</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42C98D8">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2.61</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2BB6DEA">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r w14:paraId="73BE8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14:paraId="7F2DC2DB">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CE6590B">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每万人口全科医生数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F30D3B8">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人</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4169C76">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4</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F723321">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2.8</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1E1273D">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约束性</w:t>
            </w:r>
          </w:p>
        </w:tc>
      </w:tr>
      <w:tr w14:paraId="3BEEE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jc w:val="center"/>
        </w:trPr>
        <w:tc>
          <w:tcPr>
            <w:tcW w:w="1180" w:type="dxa"/>
            <w:vMerge w:val="continue"/>
            <w:tcBorders>
              <w:top w:val="nil"/>
              <w:left w:val="single" w:color="auto" w:sz="4" w:space="0"/>
              <w:bottom w:val="single" w:color="auto" w:sz="4" w:space="0"/>
              <w:right w:val="single" w:color="auto" w:sz="4" w:space="0"/>
            </w:tcBorders>
            <w:shd w:val="clear" w:color="auto" w:fill="auto"/>
            <w:tcMar>
              <w:left w:w="108" w:type="dxa"/>
              <w:right w:w="108" w:type="dxa"/>
            </w:tcMar>
            <w:vAlign w:val="center"/>
          </w:tcPr>
          <w:p w14:paraId="079DEE0B">
            <w:pPr>
              <w:keepNext w:val="0"/>
              <w:keepLines w:val="0"/>
              <w:pageBreakBefore w:val="0"/>
              <w:suppressLineNumbers w:val="0"/>
              <w:kinsoku/>
              <w:wordWrap/>
              <w:overflowPunct/>
              <w:topLinePunct w:val="0"/>
              <w:bidi w:val="0"/>
              <w:spacing w:before="0" w:beforeAutospacing="0" w:after="0" w:afterAutospacing="0" w:line="560" w:lineRule="exact"/>
              <w:ind w:left="0" w:right="0"/>
              <w:rPr>
                <w:rFonts w:hint="default" w:ascii="Times New Roman" w:hAnsi="Times New Roman" w:cs="Times New Roman"/>
                <w:sz w:val="20"/>
                <w:szCs w:val="20"/>
              </w:rPr>
            </w:pPr>
          </w:p>
        </w:tc>
        <w:tc>
          <w:tcPr>
            <w:tcW w:w="166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CE67A2B">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每千人口3岁以下托位数</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722F9301">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个</w:t>
            </w:r>
          </w:p>
        </w:tc>
        <w:tc>
          <w:tcPr>
            <w:tcW w:w="1420"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8D926AD">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1.55</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3E5222F">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宋体"/>
                <w:kern w:val="0"/>
                <w:sz w:val="20"/>
                <w:szCs w:val="20"/>
                <w:lang w:val="en-US" w:eastAsia="zh-CN" w:bidi="ar"/>
              </w:rPr>
              <w:t>1.38</w:t>
            </w:r>
          </w:p>
        </w:tc>
        <w:tc>
          <w:tcPr>
            <w:tcW w:w="1421" w:type="dxa"/>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8A99A34">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center"/>
              <w:rPr>
                <w:rFonts w:hint="eastAsia" w:ascii="宋体" w:hAnsi="宋体" w:eastAsia="宋体" w:cs="Times New Roman"/>
                <w:kern w:val="0"/>
                <w:sz w:val="20"/>
                <w:szCs w:val="20"/>
              </w:rPr>
            </w:pPr>
            <w:r>
              <w:rPr>
                <w:rFonts w:hint="eastAsia" w:ascii="宋体" w:hAnsi="宋体" w:eastAsia="宋体" w:cs="Times New Roman"/>
                <w:kern w:val="0"/>
                <w:sz w:val="20"/>
                <w:szCs w:val="20"/>
                <w:lang w:val="en-US" w:eastAsia="zh-CN" w:bidi="ar"/>
              </w:rPr>
              <w:t>预期性</w:t>
            </w:r>
          </w:p>
        </w:tc>
      </w:tr>
    </w:tbl>
    <w:p w14:paraId="13F7F83B">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kern w:val="2"/>
          <w:sz w:val="32"/>
          <w:szCs w:val="32"/>
        </w:rPr>
      </w:pPr>
      <w:r>
        <w:rPr>
          <w:rFonts w:hint="eastAsia" w:ascii="黑体" w:hAnsi="宋体" w:eastAsia="黑体" w:cs="黑体"/>
          <w:kern w:val="2"/>
          <w:sz w:val="32"/>
          <w:szCs w:val="32"/>
          <w:lang w:val="en-US" w:eastAsia="zh-CN" w:bidi="ar"/>
        </w:rPr>
        <w:t xml:space="preserve"> </w:t>
      </w:r>
    </w:p>
    <w:p w14:paraId="651C38CA">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黑体"/>
          <w:kern w:val="2"/>
          <w:sz w:val="32"/>
          <w:szCs w:val="32"/>
        </w:rPr>
      </w:pPr>
      <w:r>
        <w:rPr>
          <w:rFonts w:hint="eastAsia" w:ascii="黑体" w:hAnsi="宋体" w:eastAsia="黑体" w:cs="黑体"/>
          <w:kern w:val="2"/>
          <w:sz w:val="32"/>
          <w:szCs w:val="32"/>
          <w:lang w:val="en-US" w:eastAsia="zh-CN" w:bidi="ar"/>
        </w:rPr>
        <w:t>三、主要任务</w:t>
      </w:r>
    </w:p>
    <w:p w14:paraId="3EB3FC97">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eastAsia" w:ascii="楷体" w:hAnsi="楷体" w:eastAsia="楷体" w:cs="Times New Roman"/>
          <w:sz w:val="32"/>
          <w:szCs w:val="32"/>
          <w:u w:color="000000"/>
        </w:rPr>
      </w:pPr>
      <w:r>
        <w:rPr>
          <w:rFonts w:hint="eastAsia" w:ascii="楷体" w:hAnsi="楷体" w:eastAsia="楷体" w:cs="楷体"/>
          <w:color w:val="000000"/>
          <w:kern w:val="0"/>
          <w:sz w:val="32"/>
          <w:szCs w:val="32"/>
          <w:u w:color="000000"/>
          <w:lang w:val="en-US" w:eastAsia="zh-CN" w:bidi="ar"/>
        </w:rPr>
        <w:t>（一）健全医疗卫生服务体系，织牢织密服务网。</w:t>
      </w:r>
    </w:p>
    <w:p w14:paraId="60E7AED6">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Times New Roman" w:hAnsi="Times New Roman" w:eastAsia="仿宋_GB2312" w:cs="Times New Roman"/>
          <w:spacing w:val="8"/>
          <w:kern w:val="2"/>
          <w:sz w:val="32"/>
          <w:szCs w:val="32"/>
          <w:shd w:val="clear" w:fill="FFFFFF"/>
        </w:rPr>
      </w:pPr>
      <w:r>
        <w:rPr>
          <w:rFonts w:hint="eastAsia" w:ascii="仿宋_GB2312" w:hAnsi="Times New Roman" w:eastAsia="仿宋_GB2312" w:cs="仿宋_GB2312"/>
          <w:kern w:val="0"/>
          <w:sz w:val="32"/>
          <w:szCs w:val="32"/>
          <w:lang w:val="en-US" w:eastAsia="zh-CN" w:bidi="ar"/>
        </w:rPr>
        <w:t>强化卫生规划建设。制定《广州市花都区医疗卫生设施布局规划实施方案（</w:t>
      </w:r>
      <w:r>
        <w:rPr>
          <w:rFonts w:hint="default" w:ascii="Times New Roman" w:hAnsi="Times New Roman" w:eastAsia="仿宋_GB2312" w:cs="Times New Roman"/>
          <w:kern w:val="0"/>
          <w:sz w:val="32"/>
          <w:szCs w:val="32"/>
          <w:lang w:val="en-US" w:eastAsia="zh-CN" w:bidi="ar"/>
        </w:rPr>
        <w:t>2021-2025</w:t>
      </w:r>
      <w:r>
        <w:rPr>
          <w:rFonts w:hint="eastAsia" w:ascii="仿宋_GB2312" w:hAnsi="Times New Roman" w:eastAsia="仿宋_GB2312" w:cs="仿宋_GB2312"/>
          <w:kern w:val="0"/>
          <w:sz w:val="32"/>
          <w:szCs w:val="32"/>
          <w:lang w:val="en-US" w:eastAsia="zh-CN" w:bidi="ar"/>
        </w:rPr>
        <w:t>年）》。综合医院和专科医院方面，继续引进省、市优质医疗资源，加快优质医疗资源扩容和均衡布局，加快中山大学附属仁济医院、广州市妇女儿童医疗中心花都院区、</w:t>
      </w:r>
      <w:r>
        <w:rPr>
          <w:rFonts w:hint="eastAsia" w:ascii="仿宋_GB2312" w:hAnsi="仿宋_GB2312" w:eastAsia="仿宋_GB2312" w:cs="仿宋_GB2312"/>
          <w:sz w:val="32"/>
          <w:szCs w:val="32"/>
          <w:lang w:val="en-US" w:eastAsia="zh-CN"/>
        </w:rPr>
        <w:t>广东省中医临床研究院（建设内容包括广东省中医临床研究院花都院区、广州中医药大学第一附属医院花都医院）、</w:t>
      </w:r>
      <w:r>
        <w:rPr>
          <w:rFonts w:hint="eastAsia" w:ascii="仿宋_GB2312" w:hAnsi="Times New Roman" w:eastAsia="仿宋_GB2312" w:cs="仿宋_GB2312"/>
          <w:kern w:val="0"/>
          <w:sz w:val="32"/>
          <w:szCs w:val="32"/>
          <w:lang w:val="en-US" w:eastAsia="zh-CN" w:bidi="ar"/>
        </w:rPr>
        <w:t>区人民医院新院等项目建设。镇卫生院和社区卫生服务中心方面，加快尚品雅居公建配套医疗卫生用房、桐悦花园社区卫生服务中心</w:t>
      </w:r>
      <w:r>
        <w:rPr>
          <w:rFonts w:hint="eastAsia" w:ascii="仿宋_GB2312" w:eastAsia="仿宋_GB2312" w:cs="仿宋_GB2312"/>
          <w:kern w:val="0"/>
          <w:sz w:val="32"/>
          <w:szCs w:val="32"/>
          <w:lang w:val="en-US" w:eastAsia="zh-CN" w:bidi="ar"/>
        </w:rPr>
        <w:t>、石塘</w:t>
      </w:r>
      <w:r>
        <w:rPr>
          <w:rFonts w:hint="eastAsia" w:ascii="仿宋_GB2312" w:hAnsi="Times New Roman" w:eastAsia="仿宋_GB2312" w:cs="仿宋_GB2312"/>
          <w:kern w:val="0"/>
          <w:sz w:val="32"/>
          <w:szCs w:val="32"/>
          <w:lang w:val="en-US" w:eastAsia="zh-CN" w:bidi="ar"/>
        </w:rPr>
        <w:t>社区卫生服务中心、平西安置区社区卫生服务中心</w:t>
      </w:r>
      <w:r>
        <w:rPr>
          <w:rFonts w:hint="eastAsia" w:ascii="仿宋_GB2312" w:eastAsia="仿宋_GB2312" w:cs="仿宋_GB2312"/>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富力金港城社区卫生服务中心等项目建设，扩建秀全社区卫生服务中心，升级改造基层医疗机构。社区卫生服务站方面，利用公建配套建设一批社区卫生服务站。将区120急救医疗指挥中心、区疾病预防控制中心慢病业务用房搬迁至尚品雅居公建配套医疗卫生用房。规划建设区疾病预防控制中心</w:t>
      </w:r>
      <w:r>
        <w:rPr>
          <w:rFonts w:hint="eastAsia" w:ascii="仿宋_GB2312" w:eastAsia="仿宋_GB2312" w:cs="仿宋_GB2312"/>
          <w:kern w:val="0"/>
          <w:sz w:val="32"/>
          <w:szCs w:val="32"/>
          <w:lang w:val="en-US" w:eastAsia="zh-CN" w:bidi="ar"/>
        </w:rPr>
        <w:t>和</w:t>
      </w:r>
      <w:r>
        <w:rPr>
          <w:rFonts w:hint="eastAsia" w:ascii="仿宋_GB2312" w:hAnsi="Times New Roman" w:eastAsia="仿宋_GB2312" w:cs="仿宋_GB2312"/>
          <w:kern w:val="0"/>
          <w:sz w:val="32"/>
          <w:szCs w:val="32"/>
          <w:lang w:val="en-US" w:eastAsia="zh-CN" w:bidi="ar"/>
        </w:rPr>
        <w:t>区血站。借力城市更新，完善医疗卫生设施。</w:t>
      </w:r>
    </w:p>
    <w:p w14:paraId="72F9119F">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72" w:firstLineChars="200"/>
        <w:jc w:val="both"/>
        <w:rPr>
          <w:rFonts w:hint="eastAsia" w:ascii="楷体" w:hAnsi="楷体" w:eastAsia="楷体" w:cs="Times New Roman"/>
          <w:b w:val="0"/>
          <w:bCs/>
          <w:spacing w:val="8"/>
          <w:shd w:val="clear" w:fill="FFFFFF"/>
        </w:rPr>
      </w:pPr>
      <w:r>
        <w:rPr>
          <w:rStyle w:val="25"/>
          <w:rFonts w:hint="eastAsia" w:ascii="楷体" w:hAnsi="楷体" w:eastAsia="楷体" w:cs="楷体"/>
          <w:b w:val="0"/>
          <w:bCs/>
          <w:spacing w:val="8"/>
          <w:kern w:val="2"/>
          <w:sz w:val="32"/>
          <w:szCs w:val="32"/>
          <w:shd w:val="clear" w:fill="FFFFFF"/>
          <w:lang w:val="en-US" w:eastAsia="zh-CN" w:bidi="ar"/>
        </w:rPr>
        <w:t>（二）深入实施健康广州行动</w:t>
      </w:r>
    </w:p>
    <w:p w14:paraId="578F52B5">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0"/>
          <w:sz w:val="32"/>
          <w:szCs w:val="32"/>
        </w:rPr>
      </w:pPr>
      <w:r>
        <w:rPr>
          <w:rFonts w:hint="eastAsia" w:ascii="仿宋_GB2312" w:hAnsi="Times New Roman" w:eastAsia="仿宋_GB2312" w:cs="仿宋_GB2312"/>
          <w:kern w:val="0"/>
          <w:sz w:val="32"/>
          <w:szCs w:val="32"/>
          <w:lang w:val="en-US" w:eastAsia="zh-CN" w:bidi="ar"/>
        </w:rPr>
        <w:t>要针对人民群众主要健康问题和影响因素，完善国民健康促进政策，加强综合干预。普及健康知识，引导人们养成良好的行为和生活方式，推进健康促进区建设。实施国民营养计划，实施合理膳食行动，因地制宜开展</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三减三健</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行动（减盐、减油、减糖、健康口腔、健康体重、健康骨骼）。突出抓好中小学健康促进，强化肥胖、视力不良等儿童重点疾病筛查干预。加快实施妇幼健康促进、职业健康保护、老年健康促进等专项行动。完善癌症、高血压、糖尿病等重大疾病防治服务保障机制。继续实施国家扩大免疫规划，加强艾滋病、结核病、病毒性肝炎等重点传染病防控，控制和消除寄生虫病、重点地方病危害。健全社会心理服务体系和危机干预机制。</w:t>
      </w:r>
    </w:p>
    <w:p w14:paraId="329DD84E">
      <w:pPr>
        <w:keepNext w:val="0"/>
        <w:keepLines w:val="0"/>
        <w:pageBreakBefore w:val="0"/>
        <w:widowControl w:val="0"/>
        <w:numPr>
          <w:ilvl w:val="0"/>
          <w:numId w:val="1"/>
        </w:numPr>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强化公共卫生服务能力建设</w:t>
      </w:r>
    </w:p>
    <w:p w14:paraId="2A9B9803">
      <w:pPr>
        <w:pStyle w:val="11"/>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rPr>
          <w:rFonts w:hint="default" w:ascii="Calibri" w:hAnsi="Calibri" w:eastAsia="宋体" w:cs="Times New Roman"/>
          <w:kern w:val="2"/>
          <w:sz w:val="28"/>
          <w:szCs w:val="28"/>
        </w:rPr>
      </w:pPr>
      <w:r>
        <w:rPr>
          <w:rFonts w:hint="eastAsia" w:ascii="Calibri" w:hAnsi="Calibri" w:eastAsia="宋体" w:cs="Times New Roman"/>
          <w:kern w:val="2"/>
          <w:sz w:val="28"/>
          <w:szCs w:val="28"/>
          <w:lang w:val="en-US" w:eastAsia="zh-CN" w:bidi="ar"/>
        </w:rPr>
        <w:t xml:space="preserve">    </w:t>
      </w:r>
      <w:r>
        <w:rPr>
          <w:rFonts w:hint="default" w:ascii="Calibri" w:hAnsi="Calibri" w:eastAsia="宋体" w:cs="Calibri"/>
          <w:kern w:val="2"/>
          <w:sz w:val="28"/>
          <w:szCs w:val="28"/>
          <w:lang w:val="en-US" w:eastAsia="zh-CN" w:bidi="ar"/>
        </w:rPr>
        <w:t>1.</w:t>
      </w:r>
      <w:r>
        <w:rPr>
          <w:rFonts w:hint="eastAsia" w:ascii="仿宋_GB2312" w:hAnsi="Times New Roman" w:eastAsia="仿宋_GB2312" w:cs="仿宋_GB2312"/>
          <w:kern w:val="0"/>
          <w:sz w:val="32"/>
          <w:szCs w:val="32"/>
          <w:lang w:val="en-US" w:eastAsia="zh-CN" w:bidi="ar"/>
        </w:rPr>
        <w:t>建立公共卫生组织体系。在区、镇</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街</w:t>
      </w:r>
      <w:r>
        <w:rPr>
          <w:rFonts w:hint="default" w:ascii="Times New Roman" w:hAnsi="Times New Roman" w:eastAsia="仿宋_GB2312" w:cs="Times New Roman"/>
          <w:kern w:val="0"/>
          <w:sz w:val="32"/>
          <w:szCs w:val="32"/>
          <w:lang w:val="en-US" w:eastAsia="zh-CN" w:bidi="ar"/>
        </w:rPr>
        <w:t xml:space="preserve">) </w:t>
      </w:r>
      <w:r>
        <w:rPr>
          <w:rFonts w:hint="eastAsia" w:ascii="仿宋_GB2312" w:hAnsi="Times New Roman" w:eastAsia="仿宋_GB2312" w:cs="仿宋_GB2312"/>
          <w:kern w:val="0"/>
          <w:sz w:val="32"/>
          <w:szCs w:val="32"/>
          <w:lang w:val="en-US" w:eastAsia="zh-CN" w:bidi="ar"/>
        </w:rPr>
        <w:t>、村</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居</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成立公共卫生委员会。区公共卫生委员会下设相关防治专项小组。发挥区、镇</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街</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、村</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社区</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公共卫生委员会统筹协调作用</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建立健全“指挥高效、统一协调、部门联动”的联防联控工作机制。区、镇</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街</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公共卫生委员会应定期召开工作会议</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加强对本地区公共卫生工作的统筹协调指导监督</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研究公共卫生安全重大问题</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组织优化完善本地区急性传染病和重大疾病防治策略。完善社区治理体系</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加强基层防控能力建设。各级公共卫生委员会要加强基层一线公共卫生人员力量</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进一步挖掘资源</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完善政策配套</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推动公共卫生人员力量下沉基层一线</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统筹指导开展专业知识培训</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推进村</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社区</w:t>
      </w:r>
      <w:r>
        <w:rPr>
          <w:rFonts w:hint="default" w:ascii="Times New Roman" w:hAnsi="Times New Roman" w:eastAsia="仿宋_GB2312" w:cs="Times New Roman"/>
          <w:kern w:val="0"/>
          <w:sz w:val="32"/>
          <w:szCs w:val="32"/>
          <w:lang w:val="en-US" w:eastAsia="zh-CN" w:bidi="ar"/>
        </w:rPr>
        <w:t>)</w:t>
      </w:r>
      <w:r>
        <w:rPr>
          <w:rFonts w:hint="eastAsia" w:ascii="仿宋_GB2312" w:hAnsi="Times New Roman" w:eastAsia="仿宋_GB2312" w:cs="仿宋_GB2312"/>
          <w:kern w:val="0"/>
          <w:sz w:val="32"/>
          <w:szCs w:val="32"/>
          <w:lang w:val="en-US" w:eastAsia="zh-CN" w:bidi="ar"/>
        </w:rPr>
        <w:t>公共卫生委员会实施网格化管理。</w:t>
      </w:r>
    </w:p>
    <w:p w14:paraId="7F3FB984">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572"/>
        <w:jc w:val="both"/>
        <w:rPr>
          <w:rFonts w:hint="default" w:ascii="Times New Roman" w:hAnsi="Times New Roman" w:eastAsia="仿宋_GB2312" w:cs="Times New Roman"/>
          <w:spacing w:val="8"/>
          <w:kern w:val="0"/>
          <w:sz w:val="32"/>
          <w:szCs w:val="32"/>
          <w:shd w:val="clear" w:fill="FFFFFF"/>
        </w:rPr>
      </w:pPr>
      <w:r>
        <w:rPr>
          <w:rFonts w:hint="default" w:ascii="Times New Roman" w:hAnsi="Times New Roman" w:eastAsia="仿宋_GB2312" w:cs="Times New Roman"/>
          <w:b/>
          <w:bCs w:val="0"/>
          <w:kern w:val="0"/>
          <w:sz w:val="32"/>
          <w:szCs w:val="32"/>
          <w:shd w:val="clear" w:fill="FFFFFF"/>
          <w:lang w:val="en-US" w:eastAsia="zh-CN" w:bidi="ar"/>
        </w:rPr>
        <w:t>2.</w:t>
      </w:r>
      <w:r>
        <w:rPr>
          <w:rFonts w:hint="eastAsia" w:ascii="仿宋_GB2312" w:hAnsi="Times New Roman" w:eastAsia="仿宋_GB2312" w:cs="仿宋_GB2312"/>
          <w:kern w:val="0"/>
          <w:sz w:val="32"/>
          <w:szCs w:val="32"/>
          <w:shd w:val="clear" w:fill="FFFFFF"/>
          <w:lang w:val="en-US" w:eastAsia="zh-CN" w:bidi="ar"/>
        </w:rPr>
        <w:t>改革完善疾病预防控制体系。</w:t>
      </w:r>
      <w:r>
        <w:rPr>
          <w:rFonts w:hint="eastAsia" w:ascii="仿宋_GB2312" w:hAnsi="Times New Roman" w:eastAsia="仿宋_GB2312" w:cs="仿宋_GB2312"/>
          <w:spacing w:val="8"/>
          <w:kern w:val="0"/>
          <w:sz w:val="32"/>
          <w:szCs w:val="32"/>
          <w:shd w:val="clear" w:fill="FFFFFF"/>
          <w:lang w:val="en-US" w:eastAsia="zh-CN" w:bidi="ar"/>
        </w:rPr>
        <w:t>要深入总结新冠肺炎疫情防控中的经验和教训，改革和强化疾病预防控制体系，优化疾控机构职能设置，理顺体制机制，加强人才队伍建设，改善疾控基础条件，提高疾病预防处置能力。落实医疗机构公共卫生责任，创新医防协同机制。完善传染病疫情与突发公共卫生事件的监测系统，强化实验室检测网络建设，健全多渠道监测预警和风险评估机制。健全医疗救治、科技支撑、物资保障体系，提高应对突发公共卫生事件能力。加强重大疫情救治体系建设，完善城乡三级医疗服务网络，强化感染、急诊、重症、检验等专科建设，以及应急医疗队建设，全面提升公立医院传染病救治能力，建设花都区公共卫生救治中心。进一步完善重大突发疫情应急管理法规和应急预案，开展经常性的防控演练，健全应急状态下的人民群众动员机制和社会参与协调机制，以疫情防控的成效保障经济社会发展。</w:t>
      </w:r>
    </w:p>
    <w:p w14:paraId="072DF389">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3"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b/>
          <w:bCs w:val="0"/>
          <w:kern w:val="2"/>
          <w:sz w:val="32"/>
          <w:szCs w:val="32"/>
          <w:lang w:val="en-US" w:eastAsia="zh-CN" w:bidi="ar"/>
        </w:rPr>
        <w:t>3.</w:t>
      </w:r>
      <w:r>
        <w:rPr>
          <w:rFonts w:hint="eastAsia" w:ascii="仿宋_GB2312" w:hAnsi="Times New Roman" w:eastAsia="仿宋_GB2312" w:cs="仿宋_GB2312"/>
          <w:b/>
          <w:bCs w:val="0"/>
          <w:kern w:val="2"/>
          <w:sz w:val="32"/>
          <w:szCs w:val="32"/>
          <w:lang w:val="en-US" w:eastAsia="zh-CN" w:bidi="ar"/>
        </w:rPr>
        <w:t>提升基本公共卫生服务能力</w:t>
      </w:r>
      <w:r>
        <w:rPr>
          <w:rFonts w:hint="eastAsia" w:ascii="仿宋_GB2312" w:hAnsi="Times New Roman" w:eastAsia="仿宋_GB2312" w:cs="仿宋_GB2312"/>
          <w:kern w:val="2"/>
          <w:sz w:val="32"/>
          <w:szCs w:val="32"/>
          <w:lang w:val="en-US" w:eastAsia="zh-CN" w:bidi="ar"/>
        </w:rPr>
        <w:t>。加强预防接种服务，按《广东省接种单位管理工作指引（</w:t>
      </w:r>
      <w:r>
        <w:rPr>
          <w:rFonts w:hint="default" w:ascii="Times New Roman" w:hAnsi="Times New Roman" w:eastAsia="仿宋_GB2312" w:cs="Times New Roman"/>
          <w:kern w:val="2"/>
          <w:sz w:val="32"/>
          <w:szCs w:val="32"/>
          <w:lang w:val="en-US" w:eastAsia="zh-CN" w:bidi="ar"/>
        </w:rPr>
        <w:t>2020</w:t>
      </w:r>
      <w:r>
        <w:rPr>
          <w:rFonts w:hint="eastAsia" w:ascii="仿宋_GB2312" w:hAnsi="Times New Roman" w:eastAsia="仿宋_GB2312" w:cs="仿宋_GB2312"/>
          <w:kern w:val="2"/>
          <w:sz w:val="32"/>
          <w:szCs w:val="32"/>
          <w:lang w:val="en-US" w:eastAsia="zh-CN" w:bidi="ar"/>
        </w:rPr>
        <w:t>版）》、开展预防接种门诊标准化建设，规范和加强预防接种规范化管理，落实属地管理责任和部门监督责任，确保预防接种安全、有效，促进预防接种工作健康、可持续发展。做好新纳入基本公共卫生妇幼项目，坚守预防出生缺陷发生的三道防线。做好叶酸增补预防神经管缺陷项目、</w:t>
      </w:r>
      <w:r>
        <w:rPr>
          <w:rFonts w:hint="default"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两癌</w:t>
      </w:r>
      <w:r>
        <w:rPr>
          <w:rFonts w:hint="default"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检查项目、预防艾滋病、梅毒和乙肝母婴传播项目等重大公共卫生项目。加强学校等重点人群的结核病防控工作。加强皮肤性病工作，加强麻风病患者的管理。实施心理健康促进行动，开展大众心理健康促进与宣传教育，加快区级精神卫生中心建设，加大外地在管精神分裂症患者送医送药经费补助力度，加大辖区严重精神障碍患者专项排查工作力度。到</w:t>
      </w:r>
      <w:r>
        <w:rPr>
          <w:rFonts w:hint="default" w:ascii="Times New Roman" w:hAnsi="Times New Roman" w:eastAsia="仿宋_GB2312" w:cs="Times New Roman"/>
          <w:kern w:val="2"/>
          <w:sz w:val="32"/>
          <w:szCs w:val="32"/>
          <w:lang w:val="en-US" w:eastAsia="zh-CN" w:bidi="ar"/>
        </w:rPr>
        <w:t>2025</w:t>
      </w:r>
      <w:r>
        <w:rPr>
          <w:rFonts w:hint="eastAsia" w:ascii="仿宋_GB2312" w:hAnsi="Times New Roman" w:eastAsia="仿宋_GB2312" w:cs="仿宋_GB2312"/>
          <w:kern w:val="2"/>
          <w:sz w:val="32"/>
          <w:szCs w:val="32"/>
          <w:lang w:val="en-US" w:eastAsia="zh-CN" w:bidi="ar"/>
        </w:rPr>
        <w:t>年，二级以上医院</w:t>
      </w:r>
      <w:r>
        <w:rPr>
          <w:rFonts w:hint="default" w:ascii="Times New Roman" w:hAnsi="Times New Roman" w:eastAsia="仿宋_GB2312" w:cs="Times New Roman"/>
          <w:kern w:val="2"/>
          <w:sz w:val="32"/>
          <w:szCs w:val="32"/>
          <w:lang w:val="en-US" w:eastAsia="zh-CN" w:bidi="ar"/>
        </w:rPr>
        <w:t>100%</w:t>
      </w:r>
      <w:r>
        <w:rPr>
          <w:rFonts w:hint="eastAsia" w:ascii="仿宋_GB2312" w:hAnsi="Times New Roman" w:eastAsia="仿宋_GB2312" w:cs="仿宋_GB2312"/>
          <w:kern w:val="2"/>
          <w:sz w:val="32"/>
          <w:szCs w:val="32"/>
          <w:lang w:val="en-US" w:eastAsia="zh-CN" w:bidi="ar"/>
        </w:rPr>
        <w:t>开设精神病心理专科，建成脑科康复医院或</w:t>
      </w:r>
      <w:r>
        <w:rPr>
          <w:rFonts w:hint="default" w:ascii="Times New Roman" w:hAnsi="Times New Roman" w:eastAsia="仿宋_GB2312" w:cs="Times New Roman"/>
          <w:kern w:val="2"/>
          <w:sz w:val="32"/>
          <w:szCs w:val="32"/>
          <w:lang w:val="en-US" w:eastAsia="zh-CN" w:bidi="ar"/>
        </w:rPr>
        <w:t>1</w:t>
      </w:r>
      <w:r>
        <w:rPr>
          <w:rFonts w:hint="eastAsia" w:ascii="仿宋_GB2312" w:hAnsi="Times New Roman" w:eastAsia="仿宋_GB2312" w:cs="仿宋_GB2312"/>
          <w:kern w:val="2"/>
          <w:sz w:val="32"/>
          <w:szCs w:val="32"/>
          <w:lang w:val="en-US" w:eastAsia="zh-CN" w:bidi="ar"/>
        </w:rPr>
        <w:t>所以上综合医院建设有病床的精神专科。</w:t>
      </w:r>
    </w:p>
    <w:p w14:paraId="1068187A">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3" w:firstLineChars="200"/>
        <w:jc w:val="left"/>
        <w:rPr>
          <w:rFonts w:hint="eastAsia" w:ascii="Times New Roman" w:hAnsi="Times New Roman" w:eastAsia="仿宋_GB2312" w:cs="Times New Roman"/>
          <w:sz w:val="32"/>
          <w:szCs w:val="32"/>
          <w:u w:color="000000"/>
        </w:rPr>
      </w:pPr>
      <w:r>
        <w:rPr>
          <w:rFonts w:hint="default" w:ascii="Times New Roman" w:hAnsi="Times New Roman" w:eastAsia="仿宋_GB2312" w:cs="Times New Roman"/>
          <w:b/>
          <w:bCs w:val="0"/>
          <w:color w:val="000000"/>
          <w:kern w:val="0"/>
          <w:sz w:val="32"/>
          <w:szCs w:val="32"/>
          <w:u w:color="000000"/>
          <w:lang w:val="en-US" w:eastAsia="zh-CN" w:bidi="ar"/>
        </w:rPr>
        <w:t>4.</w:t>
      </w:r>
      <w:r>
        <w:rPr>
          <w:rFonts w:hint="eastAsia" w:ascii="仿宋_GB2312" w:hAnsi="Times New Roman" w:eastAsia="仿宋_GB2312" w:cs="仿宋_GB2312"/>
          <w:b/>
          <w:bCs w:val="0"/>
          <w:color w:val="000000"/>
          <w:kern w:val="0"/>
          <w:sz w:val="32"/>
          <w:szCs w:val="32"/>
          <w:u w:color="000000"/>
          <w:lang w:val="en-US" w:eastAsia="zh-CN" w:bidi="ar"/>
        </w:rPr>
        <w:t>持续开展爱国卫生运动</w:t>
      </w:r>
      <w:r>
        <w:rPr>
          <w:rFonts w:hint="eastAsia" w:ascii="仿宋_GB2312" w:hAnsi="Times New Roman" w:eastAsia="仿宋_GB2312" w:cs="仿宋_GB2312"/>
          <w:color w:val="000000"/>
          <w:kern w:val="0"/>
          <w:sz w:val="32"/>
          <w:szCs w:val="32"/>
          <w:u w:color="000000"/>
          <w:lang w:val="en-US" w:eastAsia="zh-CN" w:bidi="ar"/>
        </w:rPr>
        <w:t>。加强爱国卫生队伍能力建设，提高各级爱卫专（兼）职行政人员组织动员能力和街镇病媒生物防治专业队伍消杀作业能力，综合提升应对大规模突发蚊鼠传染病消杀能力。实施健康环境促进行动，建立健全环境卫生管理长效机制，全面推进城乡环境卫生综合治理。</w:t>
      </w:r>
      <w:r>
        <w:rPr>
          <w:rFonts w:hint="eastAsia" w:ascii="仿宋_GB2312" w:hAnsi="仿宋_GB2312" w:eastAsia="仿宋_GB2312" w:cs="仿宋_GB2312"/>
          <w:color w:val="000000"/>
          <w:kern w:val="0"/>
          <w:sz w:val="32"/>
          <w:szCs w:val="32"/>
          <w:u w:color="000000"/>
          <w:shd w:val="clear" w:fill="FFFFFF"/>
          <w:lang w:val="en-US" w:eastAsia="zh-CN" w:bidi="ar"/>
        </w:rPr>
        <w:t>巩固卫生城市创建成果，</w:t>
      </w:r>
      <w:r>
        <w:rPr>
          <w:rFonts w:hint="eastAsia" w:ascii="仿宋_GB2312" w:hAnsi="华文中宋" w:eastAsia="仿宋_GB2312" w:cs="仿宋_GB2312"/>
          <w:color w:val="000000"/>
          <w:kern w:val="0"/>
          <w:sz w:val="32"/>
          <w:szCs w:val="32"/>
          <w:u w:color="000000"/>
          <w:shd w:val="clear" w:fill="FFFFFF"/>
          <w:lang w:val="en-US" w:eastAsia="zh-CN" w:bidi="ar"/>
        </w:rPr>
        <w:t>全面开展卫生镇（街）创建达标验收，高标准迎接国家复审。到</w:t>
      </w:r>
      <w:r>
        <w:rPr>
          <w:rFonts w:hint="default" w:ascii="Times New Roman" w:hAnsi="Times New Roman" w:eastAsia="仿宋_GB2312" w:cs="Times New Roman"/>
          <w:color w:val="000000"/>
          <w:kern w:val="0"/>
          <w:sz w:val="32"/>
          <w:szCs w:val="32"/>
          <w:u w:color="000000"/>
          <w:shd w:val="clear" w:fill="FFFFFF"/>
          <w:lang w:val="en-US" w:eastAsia="zh-CN" w:bidi="ar"/>
        </w:rPr>
        <w:t>2025</w:t>
      </w:r>
      <w:r>
        <w:rPr>
          <w:rFonts w:hint="eastAsia" w:ascii="仿宋_GB2312" w:hAnsi="华文中宋" w:eastAsia="仿宋_GB2312" w:cs="仿宋_GB2312"/>
          <w:color w:val="000000"/>
          <w:kern w:val="0"/>
          <w:sz w:val="32"/>
          <w:szCs w:val="32"/>
          <w:u w:color="000000"/>
          <w:shd w:val="clear" w:fill="FFFFFF"/>
          <w:lang w:val="en-US" w:eastAsia="zh-CN" w:bidi="ar"/>
        </w:rPr>
        <w:t>年，国家（省）卫生镇覆盖率达到</w:t>
      </w:r>
      <w:r>
        <w:rPr>
          <w:rFonts w:hint="default" w:ascii="Times New Roman" w:hAnsi="Times New Roman" w:eastAsia="仿宋_GB2312" w:cs="Times New Roman"/>
          <w:color w:val="000000"/>
          <w:kern w:val="0"/>
          <w:sz w:val="32"/>
          <w:szCs w:val="32"/>
          <w:u w:color="000000"/>
          <w:shd w:val="clear" w:fill="FFFFFF"/>
          <w:lang w:val="en-US" w:eastAsia="zh-CN" w:bidi="ar"/>
        </w:rPr>
        <w:t>100%</w:t>
      </w:r>
      <w:r>
        <w:rPr>
          <w:rFonts w:hint="eastAsia" w:ascii="仿宋_GB2312" w:hAnsi="华文中宋" w:eastAsia="仿宋_GB2312" w:cs="仿宋_GB2312"/>
          <w:color w:val="000000"/>
          <w:kern w:val="0"/>
          <w:sz w:val="32"/>
          <w:szCs w:val="32"/>
          <w:u w:color="000000"/>
          <w:shd w:val="clear" w:fill="FFFFFF"/>
          <w:lang w:val="en-US" w:eastAsia="zh-CN" w:bidi="ar"/>
        </w:rPr>
        <w:t>。</w:t>
      </w:r>
      <w:r>
        <w:rPr>
          <w:rFonts w:hint="eastAsia" w:ascii="仿宋_GB2312" w:hAnsi="仿宋_GB2312" w:eastAsia="仿宋_GB2312" w:cs="仿宋_GB2312"/>
          <w:color w:val="000000"/>
          <w:kern w:val="0"/>
          <w:sz w:val="32"/>
          <w:szCs w:val="32"/>
          <w:u w:color="000000"/>
          <w:lang w:val="en-US" w:eastAsia="zh-CN" w:bidi="ar"/>
        </w:rPr>
        <w:t>持续推进蚊媒防制网格化建设，进一步完善日常蚊媒防制措施，科学开展疫点蚊媒处置工作。定期组织开展病媒生物防制行动。</w:t>
      </w:r>
      <w:r>
        <w:rPr>
          <w:rFonts w:hint="eastAsia" w:ascii="仿宋_GB2312" w:hAnsi="仿宋_GB2312" w:eastAsia="仿宋_GB2312" w:cs="仿宋_GB2312"/>
          <w:color w:val="000000"/>
          <w:kern w:val="0"/>
          <w:sz w:val="32"/>
          <w:szCs w:val="32"/>
          <w:u w:color="000000"/>
          <w:shd w:val="clear" w:fill="FFFFFF"/>
          <w:lang w:val="en-US" w:eastAsia="zh-CN" w:bidi="ar"/>
        </w:rPr>
        <w:t>加强控烟宣传</w:t>
      </w:r>
      <w:r>
        <w:rPr>
          <w:rFonts w:hint="eastAsia" w:ascii="仿宋_GB2312" w:hAnsi="仿宋_GB2312" w:eastAsia="仿宋_GB2312" w:cs="仿宋_GB2312"/>
          <w:color w:val="000000"/>
          <w:kern w:val="0"/>
          <w:sz w:val="32"/>
          <w:szCs w:val="32"/>
          <w:u w:color="000000"/>
          <w:lang w:val="en-US" w:eastAsia="zh-CN" w:bidi="ar"/>
        </w:rPr>
        <w:t>和巡查执法</w:t>
      </w:r>
      <w:r>
        <w:rPr>
          <w:rFonts w:hint="eastAsia" w:ascii="仿宋_GB2312" w:hAnsi="仿宋_GB2312" w:eastAsia="仿宋_GB2312" w:cs="仿宋_GB2312"/>
          <w:color w:val="000000"/>
          <w:kern w:val="0"/>
          <w:sz w:val="32"/>
          <w:szCs w:val="32"/>
          <w:u w:color="000000"/>
          <w:shd w:val="clear" w:fill="FFFFFF"/>
          <w:lang w:val="en-US" w:eastAsia="zh-CN" w:bidi="ar"/>
        </w:rPr>
        <w:t>力度，</w:t>
      </w:r>
      <w:r>
        <w:rPr>
          <w:rFonts w:hint="eastAsia" w:ascii="仿宋_GB2312" w:hAnsi="仿宋_GB2312" w:eastAsia="仿宋_GB2312" w:cs="仿宋_GB2312"/>
          <w:color w:val="000000"/>
          <w:kern w:val="0"/>
          <w:sz w:val="32"/>
          <w:szCs w:val="32"/>
          <w:u w:color="000000"/>
          <w:lang w:val="en-US" w:eastAsia="zh-CN" w:bidi="ar"/>
        </w:rPr>
        <w:t>开展经常性督导检查，切实提高公共空间无烟率。</w:t>
      </w:r>
      <w:r>
        <w:rPr>
          <w:rFonts w:hint="eastAsia" w:ascii="仿宋_GB2312" w:hAnsi="仿宋_GB2312" w:eastAsia="仿宋_GB2312" w:cs="仿宋_GB2312"/>
          <w:color w:val="000000"/>
          <w:kern w:val="0"/>
          <w:sz w:val="32"/>
          <w:szCs w:val="32"/>
          <w:u w:color="000000"/>
          <w:shd w:val="clear" w:fill="FFFFFF"/>
          <w:lang w:val="en-US" w:eastAsia="zh-CN" w:bidi="ar"/>
        </w:rPr>
        <w:t>深入做好</w:t>
      </w:r>
      <w:r>
        <w:rPr>
          <w:rFonts w:hint="default" w:ascii="Times New Roman" w:hAnsi="Times New Roman" w:eastAsia="仿宋_GB2312" w:cs="Times New Roman"/>
          <w:color w:val="000000"/>
          <w:kern w:val="0"/>
          <w:sz w:val="32"/>
          <w:szCs w:val="32"/>
          <w:u w:color="000000"/>
          <w:shd w:val="clear" w:fill="FFFFFF"/>
          <w:lang w:val="en-US" w:eastAsia="zh-CN" w:bidi="ar"/>
        </w:rPr>
        <w:t>“</w:t>
      </w:r>
      <w:r>
        <w:rPr>
          <w:rFonts w:hint="eastAsia" w:ascii="仿宋_GB2312" w:hAnsi="仿宋_GB2312" w:eastAsia="仿宋_GB2312" w:cs="仿宋_GB2312"/>
          <w:color w:val="000000"/>
          <w:kern w:val="0"/>
          <w:sz w:val="32"/>
          <w:szCs w:val="32"/>
          <w:u w:color="000000"/>
          <w:shd w:val="clear" w:fill="FFFFFF"/>
          <w:lang w:val="en-US" w:eastAsia="zh-CN" w:bidi="ar"/>
        </w:rPr>
        <w:t>厕所革命</w:t>
      </w:r>
      <w:r>
        <w:rPr>
          <w:rFonts w:hint="default" w:ascii="Times New Roman" w:hAnsi="Times New Roman" w:eastAsia="仿宋_GB2312" w:cs="Times New Roman"/>
          <w:color w:val="000000"/>
          <w:kern w:val="0"/>
          <w:sz w:val="32"/>
          <w:szCs w:val="32"/>
          <w:u w:color="000000"/>
          <w:shd w:val="clear" w:fill="FFFFFF"/>
          <w:lang w:val="en-US" w:eastAsia="zh-CN" w:bidi="ar"/>
        </w:rPr>
        <w:t>”</w:t>
      </w:r>
      <w:r>
        <w:rPr>
          <w:rFonts w:hint="eastAsia" w:ascii="仿宋_GB2312" w:hAnsi="仿宋_GB2312" w:eastAsia="仿宋_GB2312" w:cs="仿宋_GB2312"/>
          <w:color w:val="000000"/>
          <w:kern w:val="0"/>
          <w:sz w:val="32"/>
          <w:szCs w:val="32"/>
          <w:u w:color="000000"/>
          <w:shd w:val="clear" w:fill="FFFFFF"/>
          <w:lang w:val="en-US" w:eastAsia="zh-CN" w:bidi="ar"/>
        </w:rPr>
        <w:t>工作，</w:t>
      </w:r>
      <w:r>
        <w:rPr>
          <w:rFonts w:hint="eastAsia" w:ascii="仿宋_GB2312" w:hAnsi="Times New Roman" w:eastAsia="仿宋_GB2312" w:cs="仿宋_GB2312"/>
          <w:color w:val="000000"/>
          <w:kern w:val="0"/>
          <w:sz w:val="32"/>
          <w:szCs w:val="32"/>
          <w:u w:color="000000"/>
          <w:lang w:val="en-US" w:eastAsia="zh-CN" w:bidi="ar"/>
        </w:rPr>
        <w:t>从源头上预防和控制重大疾病</w:t>
      </w:r>
      <w:r>
        <w:rPr>
          <w:rFonts w:hint="eastAsia" w:ascii="仿宋_GB2312" w:hAnsi="仿宋_GB2312" w:eastAsia="仿宋_GB2312" w:cs="仿宋_GB2312"/>
          <w:color w:val="000000"/>
          <w:kern w:val="0"/>
          <w:sz w:val="32"/>
          <w:szCs w:val="32"/>
          <w:u w:color="000000"/>
          <w:lang w:val="en-US" w:eastAsia="zh-CN" w:bidi="ar"/>
        </w:rPr>
        <w:t>。</w:t>
      </w:r>
      <w:r>
        <w:rPr>
          <w:rFonts w:hint="eastAsia" w:ascii="仿宋_GB2312" w:hAnsi="华文中宋" w:eastAsia="仿宋_GB2312" w:cs="仿宋_GB2312"/>
          <w:color w:val="000000"/>
          <w:kern w:val="0"/>
          <w:sz w:val="32"/>
          <w:szCs w:val="32"/>
          <w:u w:color="000000"/>
          <w:lang w:val="en-US" w:eastAsia="zh-CN" w:bidi="ar"/>
        </w:rPr>
        <w:t>大力推进健康城市、健康村、健康社区建设。</w:t>
      </w:r>
    </w:p>
    <w:p w14:paraId="0A2DD06F">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72" w:firstLineChars="200"/>
        <w:jc w:val="both"/>
        <w:rPr>
          <w:rFonts w:hint="eastAsia" w:ascii="楷体" w:hAnsi="楷体" w:eastAsia="楷体" w:cs="Times New Roman"/>
          <w:b w:val="0"/>
          <w:bCs/>
          <w:spacing w:val="8"/>
          <w:shd w:val="clear" w:fill="FFFFFF"/>
        </w:rPr>
      </w:pPr>
      <w:r>
        <w:rPr>
          <w:rStyle w:val="25"/>
          <w:rFonts w:hint="eastAsia" w:ascii="楷体" w:hAnsi="楷体" w:eastAsia="楷体" w:cs="楷体"/>
          <w:b w:val="0"/>
          <w:bCs/>
          <w:spacing w:val="8"/>
          <w:kern w:val="2"/>
          <w:sz w:val="32"/>
          <w:szCs w:val="32"/>
          <w:shd w:val="clear" w:fill="FFFFFF"/>
          <w:lang w:val="en-US" w:eastAsia="zh-CN" w:bidi="ar"/>
        </w:rPr>
        <w:t>（四）深化医药卫生体制改革</w:t>
      </w:r>
    </w:p>
    <w:p w14:paraId="74EFB909">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default" w:ascii="Times New Roman" w:hAnsi="Times New Roman" w:eastAsia="仿宋_GB2312" w:cs="Times New Roman"/>
          <w:kern w:val="0"/>
          <w:sz w:val="32"/>
          <w:szCs w:val="32"/>
          <w:u w:color="000000"/>
          <w:shd w:val="clear" w:fill="FFFFFF"/>
          <w:lang w:val="en-US" w:eastAsia="zh-CN" w:bidi="ar"/>
        </w:rPr>
        <w:t>1.</w:t>
      </w:r>
      <w:r>
        <w:rPr>
          <w:rFonts w:hint="eastAsia" w:ascii="仿宋_GB2312" w:hAnsi="Calibri" w:eastAsia="仿宋_GB2312" w:cs="仿宋_GB2312"/>
          <w:kern w:val="0"/>
          <w:sz w:val="32"/>
          <w:szCs w:val="32"/>
          <w:u w:color="000000"/>
          <w:shd w:val="clear" w:fill="FFFFFF"/>
          <w:lang w:val="en-US" w:eastAsia="zh-CN" w:bidi="ar"/>
        </w:rPr>
        <w:t>完善分级诊疗制度。</w:t>
      </w:r>
      <w:r>
        <w:rPr>
          <w:rFonts w:hint="eastAsia" w:ascii="仿宋_GB2312" w:hAnsi="仿宋_GB2312" w:eastAsia="仿宋_GB2312" w:cs="仿宋_GB2312"/>
          <w:kern w:val="0"/>
          <w:sz w:val="32"/>
          <w:szCs w:val="32"/>
          <w:u w:color="000000"/>
          <w:shd w:val="clear" w:fill="FFFFFF"/>
          <w:lang w:val="en-US" w:eastAsia="zh-CN" w:bidi="ar"/>
        </w:rPr>
        <w:t>深化医疗集团建设，实施人才组团式帮扶，以更大力度促进优质医疗资源下沉，促进药学协作，落实医保总额付费、结余留用政策，打造健康共同体。开展优质服务基层行创建活动，开展社区医院试点，做实家庭医生签约服务，强化基层服务能力建设。</w:t>
      </w:r>
      <w:r>
        <w:rPr>
          <w:rFonts w:hint="eastAsia" w:ascii="仿宋_GB2312" w:hAnsi="Calibri" w:eastAsia="仿宋_GB2312" w:cs="仿宋_GB2312"/>
          <w:kern w:val="0"/>
          <w:sz w:val="32"/>
          <w:szCs w:val="32"/>
          <w:u w:color="000000"/>
          <w:shd w:val="clear" w:fill="FFFFFF"/>
          <w:lang w:val="en-US" w:eastAsia="zh-CN" w:bidi="ar"/>
        </w:rPr>
        <w:t>提升村卫生站“一元钱”看病服务内涵。</w:t>
      </w:r>
      <w:r>
        <w:rPr>
          <w:rFonts w:hint="eastAsia" w:ascii="仿宋_GB2312" w:hAnsi="仿宋_GB2312" w:eastAsia="仿宋_GB2312" w:cs="仿宋_GB2312"/>
          <w:kern w:val="0"/>
          <w:sz w:val="32"/>
          <w:szCs w:val="32"/>
          <w:u w:color="000000"/>
          <w:shd w:val="clear" w:fill="FFFFFF"/>
          <w:lang w:val="en-US" w:eastAsia="zh-CN" w:bidi="ar"/>
        </w:rPr>
        <w:t>构建优质高效的医疗卫生服务体系</w:t>
      </w:r>
      <w:r>
        <w:rPr>
          <w:rFonts w:hint="eastAsia" w:ascii="仿宋_GB2312" w:hAnsi="Calibri" w:eastAsia="仿宋_GB2312" w:cs="仿宋_GB2312"/>
          <w:kern w:val="0"/>
          <w:sz w:val="32"/>
          <w:szCs w:val="32"/>
          <w:u w:color="000000"/>
          <w:shd w:val="clear" w:fill="FFFFFF"/>
          <w:lang w:val="en-US" w:eastAsia="zh-CN" w:bidi="ar"/>
        </w:rPr>
        <w:t>。</w:t>
      </w:r>
      <w:r>
        <w:rPr>
          <w:rFonts w:hint="eastAsia" w:ascii="仿宋_GB2312" w:hAnsi="Calibri" w:eastAsia="仿宋_GB2312" w:cs="仿宋_GB2312"/>
          <w:b w:val="0"/>
          <w:bCs w:val="0"/>
          <w:i w:val="0"/>
          <w:iCs w:val="0"/>
          <w:caps w:val="0"/>
          <w:spacing w:val="0"/>
          <w:kern w:val="2"/>
          <w:sz w:val="32"/>
          <w:szCs w:val="32"/>
          <w:shd w:val="clear" w:fill="FFFFFF"/>
          <w:lang w:val="en-US" w:eastAsia="zh-CN" w:bidi="ar"/>
        </w:rPr>
        <w:t>推动区、镇（街）、村等各级各类医疗机构落实功能定位，均衡发挥作用。</w:t>
      </w:r>
      <w:r>
        <w:rPr>
          <w:rFonts w:hint="eastAsia" w:ascii="仿宋_GB2312" w:hAnsi="仿宋_GB2312" w:eastAsia="仿宋_GB2312" w:cs="仿宋_GB2312"/>
          <w:kern w:val="0"/>
          <w:sz w:val="32"/>
          <w:szCs w:val="32"/>
          <w:u w:color="000000"/>
          <w:shd w:val="clear" w:fill="FFFFFF"/>
          <w:lang w:val="en-US" w:eastAsia="zh-CN" w:bidi="ar"/>
        </w:rPr>
        <w:t>完善</w:t>
      </w:r>
      <w:r>
        <w:rPr>
          <w:rFonts w:hint="eastAsia" w:ascii="仿宋_GB2312" w:hAnsi="Calibri" w:eastAsia="仿宋_GB2312" w:cs="仿宋_GB2312"/>
          <w:kern w:val="0"/>
          <w:sz w:val="32"/>
          <w:szCs w:val="32"/>
          <w:u w:color="000000"/>
          <w:shd w:val="clear" w:fill="FFFFFF"/>
          <w:lang w:val="en-US" w:eastAsia="zh-CN" w:bidi="ar"/>
        </w:rPr>
        <w:t>医疗卫生机构</w:t>
      </w:r>
      <w:r>
        <w:rPr>
          <w:rFonts w:hint="eastAsia" w:ascii="仿宋_GB2312" w:hAnsi="仿宋_GB2312" w:eastAsia="仿宋_GB2312" w:cs="仿宋_GB2312"/>
          <w:kern w:val="0"/>
          <w:sz w:val="32"/>
          <w:szCs w:val="32"/>
          <w:u w:color="000000"/>
          <w:shd w:val="clear" w:fill="FFFFFF"/>
          <w:lang w:val="en-US" w:eastAsia="zh-CN" w:bidi="ar"/>
        </w:rPr>
        <w:t>绩效考核方案，进一步发挥区级主体作用，科学合理制订绩效指标，不断完善项目绩效考核方案，实现考核结果与个人收入挂钩，形成有效的激励和约束机制。</w:t>
      </w:r>
    </w:p>
    <w:p w14:paraId="1287F3A3">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Times New Roman" w:hAnsi="仿宋_GB2312" w:eastAsia="微软雅黑" w:cs="Times New Roman"/>
          <w:kern w:val="0"/>
          <w:sz w:val="32"/>
          <w:szCs w:val="32"/>
          <w:u w:color="000000"/>
          <w:shd w:val="clear" w:fill="FFFFFF"/>
        </w:rPr>
      </w:pPr>
      <w:r>
        <w:rPr>
          <w:rFonts w:hint="default" w:ascii="Times New Roman" w:hAnsi="Times New Roman" w:eastAsia="仿宋_GB2312" w:cs="Times New Roman"/>
          <w:kern w:val="0"/>
          <w:sz w:val="32"/>
          <w:szCs w:val="32"/>
          <w:u w:color="000000"/>
          <w:shd w:val="clear" w:fill="FFFFFF"/>
          <w:lang w:val="en-US" w:eastAsia="zh-CN" w:bidi="ar"/>
        </w:rPr>
        <w:t>2.</w:t>
      </w:r>
      <w:r>
        <w:rPr>
          <w:rFonts w:hint="eastAsia" w:ascii="仿宋_GB2312" w:hAnsi="仿宋_GB2312" w:eastAsia="仿宋_GB2312" w:cs="仿宋_GB2312"/>
          <w:kern w:val="0"/>
          <w:sz w:val="32"/>
          <w:szCs w:val="32"/>
          <w:u w:color="000000"/>
          <w:shd w:val="clear" w:fill="FFFFFF"/>
          <w:lang w:val="en-US" w:eastAsia="zh-CN" w:bidi="ar"/>
        </w:rPr>
        <w:t>建立健全现代医院管理制度</w:t>
      </w:r>
      <w:r>
        <w:rPr>
          <w:rFonts w:hint="eastAsia" w:ascii="仿宋_GB2312" w:hAnsi="Calibri" w:eastAsia="仿宋_GB2312" w:cs="仿宋_GB2312"/>
          <w:kern w:val="0"/>
          <w:sz w:val="32"/>
          <w:szCs w:val="32"/>
          <w:u w:color="000000"/>
          <w:shd w:val="clear" w:fill="FFFFFF"/>
          <w:lang w:val="en-US" w:eastAsia="zh-CN" w:bidi="ar"/>
        </w:rPr>
        <w:t>。</w:t>
      </w:r>
      <w:r>
        <w:rPr>
          <w:rFonts w:hint="eastAsia" w:ascii="仿宋_GB2312" w:hAnsi="仿宋_GB2312" w:eastAsia="仿宋_GB2312" w:cs="仿宋_GB2312"/>
          <w:kern w:val="0"/>
          <w:sz w:val="32"/>
          <w:szCs w:val="32"/>
          <w:u w:color="000000"/>
          <w:shd w:val="clear" w:fill="FFFFFF"/>
          <w:lang w:val="en-US" w:eastAsia="zh-CN" w:bidi="ar"/>
        </w:rPr>
        <w:t>加强公立医院党的建设。落实党委领导下的院长负责制，确保医院改革发展的正确方向。完善内部管理制度，重点围绕功能定位、医院章程、管理制度、人员人才、学科建设、医院文化做文章，实现医院管理的规范化、精细化、科学化。补齐公立医院学科发展短板，力争实现大病不出区。</w:t>
      </w:r>
      <w:r>
        <w:rPr>
          <w:rFonts w:hint="eastAsia" w:ascii="仿宋_GB2312" w:hAnsi="Calibri" w:eastAsia="仿宋_GB2312" w:cs="仿宋_GB2312"/>
          <w:kern w:val="0"/>
          <w:sz w:val="32"/>
          <w:szCs w:val="32"/>
          <w:u w:color="000000"/>
          <w:shd w:val="clear" w:fill="FFFFFF"/>
          <w:lang w:val="en-US" w:eastAsia="zh-CN" w:bidi="ar"/>
        </w:rPr>
        <w:t>推行公立医院主要负责人目标年薪制。支持公立医院开展互联网诊疗。以公立医院等级评审为契机，推动公立医院高质量发展。积极贯彻落实《公立医院高质量发展促进行动（</w:t>
      </w:r>
      <w:r>
        <w:rPr>
          <w:rFonts w:hint="default" w:ascii="Times New Roman" w:hAnsi="Times New Roman" w:eastAsia="仿宋_GB2312" w:cs="Times New Roman"/>
          <w:kern w:val="0"/>
          <w:sz w:val="32"/>
          <w:szCs w:val="32"/>
          <w:u w:color="000000"/>
          <w:shd w:val="clear" w:fill="FFFFFF"/>
          <w:lang w:val="en-US" w:eastAsia="zh-CN" w:bidi="ar"/>
        </w:rPr>
        <w:t>2021-2025</w:t>
      </w:r>
      <w:r>
        <w:rPr>
          <w:rFonts w:hint="eastAsia" w:ascii="仿宋_GB2312" w:hAnsi="Calibri" w:eastAsia="仿宋_GB2312" w:cs="仿宋_GB2312"/>
          <w:kern w:val="0"/>
          <w:sz w:val="32"/>
          <w:szCs w:val="32"/>
          <w:u w:color="000000"/>
          <w:shd w:val="clear" w:fill="FFFFFF"/>
          <w:lang w:val="en-US" w:eastAsia="zh-CN" w:bidi="ar"/>
        </w:rPr>
        <w:t>年）》。</w:t>
      </w:r>
    </w:p>
    <w:p w14:paraId="01A6CF7E">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default" w:ascii="Times New Roman" w:hAnsi="Times New Roman" w:eastAsia="仿宋_GB2312" w:cs="Times New Roman"/>
          <w:kern w:val="0"/>
          <w:sz w:val="32"/>
          <w:szCs w:val="32"/>
          <w:u w:color="000000"/>
          <w:shd w:val="clear" w:fill="FFFFFF"/>
          <w:lang w:val="en-US" w:eastAsia="zh-CN" w:bidi="ar"/>
        </w:rPr>
        <w:t>3.</w:t>
      </w:r>
      <w:r>
        <w:rPr>
          <w:rFonts w:hint="eastAsia" w:ascii="仿宋_GB2312" w:hAnsi="Calibri" w:eastAsia="仿宋_GB2312" w:cs="仿宋_GB2312"/>
          <w:kern w:val="0"/>
          <w:sz w:val="32"/>
          <w:szCs w:val="32"/>
          <w:u w:color="000000"/>
          <w:shd w:val="clear" w:fill="FFFFFF"/>
          <w:lang w:val="en-US" w:eastAsia="zh-CN" w:bidi="ar"/>
        </w:rPr>
        <w:t>加强三医联动。</w:t>
      </w:r>
      <w:r>
        <w:rPr>
          <w:rFonts w:hint="eastAsia" w:ascii="仿宋_GB2312" w:hAnsi="仿宋_GB2312" w:eastAsia="仿宋_GB2312" w:cs="仿宋_GB2312"/>
          <w:kern w:val="0"/>
          <w:sz w:val="32"/>
          <w:szCs w:val="32"/>
          <w:u w:color="000000"/>
          <w:shd w:val="clear" w:fill="FFFFFF"/>
          <w:lang w:val="en-US" w:eastAsia="zh-CN" w:bidi="ar"/>
        </w:rPr>
        <w:t>稳步推进国家基本药物试点工作。落实好国家组织药品和耗材集中采购使用改革和医保相关政策，调动医疗机构和医务人员积极性，推动改革成果惠及更多群众。</w:t>
      </w:r>
    </w:p>
    <w:p w14:paraId="1EA43545">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Times New Roman" w:eastAsia="仿宋_GB2312" w:cs="Times New Roman"/>
          <w:kern w:val="0"/>
          <w:sz w:val="32"/>
          <w:szCs w:val="32"/>
          <w:u w:color="000000"/>
          <w:shd w:val="clear" w:fill="FFFFFF"/>
        </w:rPr>
      </w:pPr>
      <w:r>
        <w:rPr>
          <w:rFonts w:hint="default" w:ascii="Times New Roman" w:hAnsi="Times New Roman" w:eastAsia="仿宋_GB2312" w:cs="Times New Roman"/>
          <w:bCs/>
          <w:kern w:val="2"/>
          <w:sz w:val="32"/>
          <w:szCs w:val="32"/>
          <w:lang w:val="en-US" w:eastAsia="zh-CN" w:bidi="ar"/>
        </w:rPr>
        <w:t>4.</w:t>
      </w:r>
      <w:r>
        <w:rPr>
          <w:rFonts w:hint="eastAsia" w:ascii="楷体" w:hAnsi="楷体" w:eastAsia="楷体" w:cs="楷体"/>
          <w:bCs/>
          <w:kern w:val="2"/>
          <w:sz w:val="32"/>
          <w:szCs w:val="32"/>
          <w:lang w:val="en-US" w:eastAsia="zh-CN" w:bidi="ar"/>
        </w:rPr>
        <w:t>强化卫生监督管理。</w:t>
      </w:r>
      <w:r>
        <w:rPr>
          <w:rFonts w:hint="eastAsia" w:ascii="仿宋_GB2312" w:hAnsi="Calibri" w:eastAsia="仿宋_GB2312" w:cs="仿宋_GB2312"/>
          <w:kern w:val="0"/>
          <w:sz w:val="32"/>
          <w:szCs w:val="32"/>
          <w:u w:color="000000"/>
          <w:shd w:val="clear" w:fill="FFFFFF"/>
          <w:lang w:val="en-US" w:eastAsia="zh-CN" w:bidi="ar"/>
        </w:rPr>
        <w:t>整合卫生、职业健康等监督执法职能和队伍，充实人员配置，强化监督执法职能，积极推进镇街综合行政执法工作；继续推进“以案促管”，加大对医疗机构监督执法力度，严肃查处违法违规行为；深入推进“双随机、一公开”和监督执法全过程记录，强化“双随机”监督监测结果运用。强化用人单位落实职业病防治主体责任，实施职业病危害风险分类分级监督管理，深入开展重点行业职业病危害和放射防护专项整治工作，加大职业健康监管和执法力度，强化职业病危害源头管控；加强职业健康宣传教育，加强重点职业病监测，健全完善职业病防治技术支撑体系。</w:t>
      </w:r>
    </w:p>
    <w:p w14:paraId="1F2765F9">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420" w:leftChars="200" w:right="0"/>
        <w:jc w:val="both"/>
        <w:rPr>
          <w:rFonts w:hint="eastAsia" w:ascii="楷体" w:hAnsi="楷体" w:eastAsia="楷体" w:cs="Times New Roman"/>
          <w:b w:val="0"/>
          <w:bCs/>
          <w:spacing w:val="8"/>
          <w:sz w:val="32"/>
          <w:szCs w:val="32"/>
          <w:shd w:val="clear" w:fill="FFFFFF"/>
        </w:rPr>
      </w:pPr>
      <w:r>
        <w:rPr>
          <w:rStyle w:val="25"/>
          <w:rFonts w:hint="eastAsia" w:ascii="楷体" w:hAnsi="楷体" w:eastAsia="楷体" w:cs="楷体"/>
          <w:b w:val="0"/>
          <w:bCs/>
          <w:spacing w:val="8"/>
          <w:sz w:val="32"/>
          <w:szCs w:val="32"/>
          <w:shd w:val="clear" w:fill="FFFFFF"/>
          <w:lang w:val="en-US" w:eastAsia="zh-CN" w:bidi="ar"/>
        </w:rPr>
        <w:t>（五）促进中医药传承创新发展</w:t>
      </w:r>
    </w:p>
    <w:p w14:paraId="384896A0">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eastAsia" w:ascii="仿宋_GB2312" w:hAnsi="仿宋_GB2312" w:eastAsia="仿宋_GB2312" w:cs="仿宋_GB2312"/>
          <w:kern w:val="0"/>
          <w:sz w:val="32"/>
          <w:szCs w:val="32"/>
          <w:u w:color="000000"/>
          <w:shd w:val="clear" w:fill="FFFFFF"/>
          <w:lang w:val="en-US" w:eastAsia="zh-CN" w:bidi="ar"/>
        </w:rPr>
        <w:t>深入贯彻习近平总书记关于中医药工作的重要论述精神，落实中共中央、国务院《关于促进中医药传承创新发展的意见》，深入实施《中医药发展战略规划纲要（</w:t>
      </w:r>
      <w:r>
        <w:rPr>
          <w:rFonts w:hint="default" w:ascii="Times New Roman" w:hAnsi="Times New Roman" w:eastAsia="仿宋_GB2312" w:cs="Times New Roman"/>
          <w:kern w:val="0"/>
          <w:sz w:val="32"/>
          <w:szCs w:val="32"/>
          <w:u w:color="000000"/>
          <w:shd w:val="clear" w:fill="FFFFFF"/>
          <w:lang w:val="en-US" w:eastAsia="zh-CN" w:bidi="ar"/>
        </w:rPr>
        <w:t>2016-2030</w:t>
      </w:r>
      <w:r>
        <w:rPr>
          <w:rFonts w:hint="eastAsia" w:ascii="仿宋_GB2312" w:hAnsi="仿宋_GB2312" w:eastAsia="仿宋_GB2312" w:cs="仿宋_GB2312"/>
          <w:kern w:val="0"/>
          <w:sz w:val="32"/>
          <w:szCs w:val="32"/>
          <w:u w:color="000000"/>
          <w:shd w:val="clear" w:fill="FFFFFF"/>
          <w:lang w:val="en-US" w:eastAsia="zh-CN" w:bidi="ar"/>
        </w:rPr>
        <w:t>年）》。大力发展中医药事业，推动中医药事业高质量发展。要充分发挥中医药优势，建设以广州市中西医结合医院为龙头，其他医疗机构中医科室为骨干，基层医疗卫生机构为基础，融预防保健、疾病治疗和康复于一体的中医药服务体系，健全符合中医药特点的服务模式、管理制度和支付机制。扩大</w:t>
      </w:r>
      <w:r>
        <w:rPr>
          <w:rFonts w:hint="eastAsia" w:ascii="仿宋_GB2312" w:hAnsi="宋体" w:eastAsia="仿宋_GB2312" w:cs="仿宋_GB2312"/>
          <w:kern w:val="0"/>
          <w:sz w:val="32"/>
          <w:szCs w:val="32"/>
          <w:u w:color="000000"/>
          <w:shd w:val="clear" w:fill="FFFFFF"/>
          <w:lang w:val="en-US" w:eastAsia="zh-CN" w:bidi="ar"/>
        </w:rPr>
        <w:t>市中西医结合</w:t>
      </w:r>
      <w:r>
        <w:rPr>
          <w:rFonts w:hint="eastAsia" w:ascii="仿宋_GB2312" w:hAnsi="仿宋_GB2312" w:eastAsia="仿宋_GB2312" w:cs="仿宋_GB2312"/>
          <w:kern w:val="0"/>
          <w:sz w:val="32"/>
          <w:szCs w:val="32"/>
          <w:u w:color="000000"/>
          <w:shd w:val="clear" w:fill="FFFFFF"/>
          <w:lang w:val="en-US" w:eastAsia="zh-CN" w:bidi="ar"/>
        </w:rPr>
        <w:t>医院重点专科建设，注重中西医并重发展，提升中医馆服务能力，全面铺开</w:t>
      </w:r>
      <w:r>
        <w:rPr>
          <w:rFonts w:hint="default" w:ascii="Times New Roman" w:hAnsi="Times New Roman" w:eastAsia="仿宋_GB2312" w:cs="Times New Roman"/>
          <w:kern w:val="0"/>
          <w:sz w:val="32"/>
          <w:szCs w:val="32"/>
          <w:u w:color="000000"/>
          <w:shd w:val="clear" w:fill="FFFFFF"/>
          <w:lang w:val="en-US" w:eastAsia="zh-CN" w:bidi="ar"/>
        </w:rPr>
        <w:t>“</w:t>
      </w:r>
      <w:r>
        <w:rPr>
          <w:rFonts w:hint="eastAsia" w:ascii="仿宋_GB2312" w:hAnsi="仿宋_GB2312" w:eastAsia="仿宋_GB2312" w:cs="仿宋_GB2312"/>
          <w:kern w:val="0"/>
          <w:sz w:val="32"/>
          <w:szCs w:val="32"/>
          <w:u w:color="000000"/>
          <w:shd w:val="clear" w:fill="FFFFFF"/>
          <w:lang w:val="en-US" w:eastAsia="zh-CN" w:bidi="ar"/>
        </w:rPr>
        <w:t>治未病</w:t>
      </w:r>
      <w:r>
        <w:rPr>
          <w:rFonts w:hint="default" w:ascii="Times New Roman" w:hAnsi="Times New Roman" w:eastAsia="仿宋_GB2312" w:cs="Times New Roman"/>
          <w:kern w:val="0"/>
          <w:sz w:val="32"/>
          <w:szCs w:val="32"/>
          <w:u w:color="000000"/>
          <w:shd w:val="clear" w:fill="FFFFFF"/>
          <w:lang w:val="en-US" w:eastAsia="zh-CN" w:bidi="ar"/>
        </w:rPr>
        <w:t>”</w:t>
      </w:r>
      <w:r>
        <w:rPr>
          <w:rFonts w:hint="eastAsia" w:ascii="仿宋_GB2312" w:hAnsi="仿宋_GB2312" w:eastAsia="仿宋_GB2312" w:cs="仿宋_GB2312"/>
          <w:kern w:val="0"/>
          <w:sz w:val="32"/>
          <w:szCs w:val="32"/>
          <w:u w:color="000000"/>
          <w:shd w:val="clear" w:fill="FFFFFF"/>
          <w:lang w:val="en-US" w:eastAsia="zh-CN" w:bidi="ar"/>
        </w:rPr>
        <w:t>门诊。加强中医药人才培养，建立体现中医药特色的人才评价机制。推进中医药科学研究和技术创新。</w:t>
      </w:r>
    </w:p>
    <w:p w14:paraId="65F5B3C0">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楷体" w:hAnsi="楷体" w:eastAsia="楷体" w:cs="楷体"/>
          <w:b w:val="0"/>
          <w:bCs/>
          <w:spacing w:val="8"/>
          <w:sz w:val="32"/>
          <w:szCs w:val="32"/>
          <w:shd w:val="clear" w:fill="FFFFFF"/>
        </w:rPr>
      </w:pPr>
      <w:r>
        <w:rPr>
          <w:rFonts w:hint="eastAsia" w:ascii="楷体" w:hAnsi="楷体" w:eastAsia="楷体" w:cs="楷体"/>
          <w:kern w:val="0"/>
          <w:sz w:val="32"/>
          <w:szCs w:val="32"/>
          <w:shd w:val="clear" w:fill="FFFFFF"/>
          <w:lang w:val="en-US" w:eastAsia="zh-CN" w:bidi="ar"/>
        </w:rPr>
        <w:t>（六）优化生育政策和加强重点人群健康服务</w:t>
      </w:r>
    </w:p>
    <w:p w14:paraId="6863C176">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default" w:ascii="Times New Roman" w:hAnsi="Times New Roman" w:eastAsia="仿宋_GB2312" w:cs="Times New Roman"/>
          <w:kern w:val="0"/>
          <w:sz w:val="32"/>
          <w:szCs w:val="32"/>
          <w:u w:color="000000"/>
          <w:shd w:val="clear" w:fill="FFFFFF"/>
          <w:lang w:val="en-US" w:eastAsia="zh-CN" w:bidi="ar"/>
        </w:rPr>
        <w:t>1.</w:t>
      </w:r>
      <w:r>
        <w:rPr>
          <w:rFonts w:hint="eastAsia" w:ascii="仿宋_GB2312" w:hAnsi="仿宋_GB2312" w:eastAsia="仿宋_GB2312" w:cs="仿宋_GB2312"/>
          <w:kern w:val="0"/>
          <w:sz w:val="32"/>
          <w:szCs w:val="32"/>
          <w:u w:color="000000"/>
          <w:shd w:val="clear" w:fill="FFFFFF"/>
          <w:lang w:val="en-US" w:eastAsia="zh-CN" w:bidi="ar"/>
        </w:rPr>
        <w:t>优化生育政策</w:t>
      </w:r>
    </w:p>
    <w:p w14:paraId="194440E8">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outlineLvl w:val="2"/>
        <w:rPr>
          <w:rFonts w:hint="eastAsia" w:ascii="Times New Roman" w:eastAsia="仿宋_GB2312" w:cs="Times New Roman"/>
          <w:kern w:val="0"/>
          <w:sz w:val="32"/>
          <w:szCs w:val="32"/>
          <w:u w:color="000000"/>
          <w:shd w:val="clear" w:fill="FFFFFF"/>
        </w:rPr>
      </w:pPr>
      <w:r>
        <w:rPr>
          <w:rFonts w:hint="eastAsia" w:ascii="仿宋_GB2312" w:hAnsi="宋体" w:eastAsia="仿宋_GB2312" w:cs="仿宋_GB2312"/>
          <w:kern w:val="0"/>
          <w:sz w:val="32"/>
          <w:szCs w:val="32"/>
          <w:u w:color="000000"/>
          <w:shd w:val="clear" w:fill="FFFFFF"/>
          <w:lang w:val="en-US" w:eastAsia="zh-CN" w:bidi="ar"/>
        </w:rPr>
        <w:t>贯彻落实《中共中央</w:t>
      </w:r>
      <w:r>
        <w:rPr>
          <w:rFonts w:hint="eastAsia" w:ascii="Times New Roman" w:hAnsi="宋体" w:eastAsia="仿宋_GB2312" w:cs="Times New Roman"/>
          <w:kern w:val="0"/>
          <w:sz w:val="32"/>
          <w:szCs w:val="32"/>
          <w:u w:color="000000"/>
          <w:shd w:val="clear" w:fill="FFFFFF"/>
          <w:lang w:val="en-US" w:eastAsia="zh-CN" w:bidi="ar"/>
        </w:rPr>
        <w:t xml:space="preserve"> </w:t>
      </w:r>
      <w:r>
        <w:rPr>
          <w:rFonts w:hint="eastAsia" w:ascii="仿宋_GB2312" w:hAnsi="宋体" w:eastAsia="仿宋_GB2312" w:cs="仿宋_GB2312"/>
          <w:kern w:val="0"/>
          <w:sz w:val="32"/>
          <w:szCs w:val="32"/>
          <w:u w:color="000000"/>
          <w:shd w:val="clear" w:fill="FFFFFF"/>
          <w:lang w:val="en-US" w:eastAsia="zh-CN" w:bidi="ar"/>
        </w:rPr>
        <w:t>国务院关于优化生育政策促进人口长期均衡发展的决定》，充分发挥计生协在群众工作中的优势和作用，实施配套支持措施，着力解决群众在孕育、生育、养育和教育等方面的后顾之忧，推动生育潜能释放，不断提升优生优育服务水平，促进家庭和谐幸福。鼓励机关、企（事）业单位和社会团体组织开办托育服务机构，采取公建民营、资金补助等方式大力发展普惠托育服务，降低生育、养育成本，形成多元、规范、便捷的婴幼儿照护服务体系，促进人口长期均衡发展。积极响应国家、省、市计生协的改革号召，围绕计生协六大任务，落实计划生育协会改革。</w:t>
      </w:r>
    </w:p>
    <w:p w14:paraId="2E66BDE0">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420" w:leftChars="200" w:right="0"/>
        <w:jc w:val="left"/>
        <w:rPr>
          <w:rFonts w:hint="eastAsia" w:ascii="楷体" w:hAnsi="楷体" w:eastAsia="楷体" w:cs="Times New Roman"/>
          <w:bCs/>
          <w:sz w:val="32"/>
          <w:szCs w:val="32"/>
          <w:u w:color="000000"/>
        </w:rPr>
      </w:pPr>
      <w:r>
        <w:rPr>
          <w:rFonts w:hint="eastAsia" w:ascii="楷体" w:hAnsi="楷体" w:eastAsia="楷体" w:cs="楷体"/>
          <w:bCs/>
          <w:color w:val="000000"/>
          <w:kern w:val="0"/>
          <w:sz w:val="32"/>
          <w:szCs w:val="32"/>
          <w:u w:color="000000"/>
          <w:lang w:val="en-US" w:eastAsia="zh-CN" w:bidi="ar"/>
        </w:rPr>
        <w:t>2.提高妇幼健康水平</w:t>
      </w:r>
    </w:p>
    <w:p w14:paraId="4DD9BD2A">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default" w:ascii="Times New Roman" w:hAnsi="Times New Roman" w:eastAsia="仿宋_GB2312" w:cs="Times New Roman"/>
          <w:sz w:val="32"/>
          <w:szCs w:val="32"/>
          <w:u w:color="000000"/>
        </w:rPr>
      </w:pPr>
      <w:r>
        <w:rPr>
          <w:rFonts w:hint="eastAsia" w:ascii="仿宋_GB2312" w:hAnsi="Times New Roman" w:eastAsia="仿宋_GB2312" w:cs="仿宋_GB2312"/>
          <w:color w:val="000000"/>
          <w:kern w:val="0"/>
          <w:sz w:val="32"/>
          <w:szCs w:val="32"/>
          <w:u w:color="000000"/>
          <w:lang w:val="en-US" w:eastAsia="zh-CN" w:bidi="ar"/>
        </w:rPr>
        <w:t>加强产儿科服务管理，保障母婴安全，促进妇幼健康事业发展。落实妇幼重大公卫和基本公卫项目，抓好出生缺陷综合防控项目实施，落实免费婚前医学检查、孕前优生健康检查、免费产前筛查诊断和新生儿疾病免费筛查工作，落实</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一站式</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婚育服务中心建设。</w:t>
      </w:r>
    </w:p>
    <w:p w14:paraId="0E871E67">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420" w:leftChars="200" w:right="0"/>
        <w:jc w:val="both"/>
        <w:rPr>
          <w:rFonts w:hint="eastAsia" w:ascii="楷体" w:hAnsi="楷体" w:eastAsia="仿宋" w:cs="Times New Roman"/>
          <w:b w:val="0"/>
          <w:bCs/>
          <w:spacing w:val="8"/>
          <w:sz w:val="32"/>
          <w:szCs w:val="32"/>
          <w:shd w:val="clear" w:fill="FFFFFF"/>
        </w:rPr>
      </w:pPr>
      <w:r>
        <w:rPr>
          <w:rStyle w:val="25"/>
          <w:rFonts w:hint="eastAsia" w:ascii="仿宋" w:hAnsi="仿宋" w:eastAsia="仿宋" w:cs="仿宋"/>
          <w:b w:val="0"/>
          <w:bCs/>
          <w:spacing w:val="8"/>
          <w:sz w:val="32"/>
          <w:szCs w:val="32"/>
          <w:shd w:val="clear" w:fill="FFFFFF"/>
          <w:lang w:val="en-US" w:eastAsia="zh-CN" w:bidi="ar"/>
        </w:rPr>
        <w:t>3.增强老年健康服务能力</w:t>
      </w:r>
    </w:p>
    <w:p w14:paraId="7D78B630">
      <w:pPr>
        <w:pStyle w:val="11"/>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0"/>
          <w:sz w:val="32"/>
          <w:szCs w:val="32"/>
          <w:u w:color="000000"/>
          <w:shd w:val="clear" w:fill="FFFFFF"/>
        </w:rPr>
      </w:pPr>
      <w:r>
        <w:rPr>
          <w:rFonts w:hint="eastAsia" w:ascii="仿宋_GB2312" w:hAnsi="宋体" w:eastAsia="仿宋_GB2312" w:cs="仿宋_GB2312"/>
          <w:kern w:val="0"/>
          <w:sz w:val="32"/>
          <w:szCs w:val="32"/>
          <w:u w:color="000000"/>
          <w:shd w:val="clear" w:fill="FFFFFF"/>
          <w:lang w:val="en-US" w:eastAsia="zh-CN" w:bidi="ar"/>
        </w:rPr>
        <w:t>深入倡导积极化龄化和健康老龄观，加强老年友善医疗机构建设，积极推进老年友好型社会创建工作，不断健全和完善老年人社会保障体系。充分发挥区级综合性公立医院的辐射和带动效应，着力提升基层医疗卫生机构服务保障能力，丰富家庭医生签约服务内涵，做实做细家庭医生签约服务项目。鼓励有空余床位的基层医疗卫生机构面向社区居民，积极开展老年健康与医养结合服务</w:t>
      </w:r>
      <w:r>
        <w:rPr>
          <w:rFonts w:hint="eastAsia" w:ascii="仿宋_GB2312" w:hAnsi="仿宋_GB2312" w:eastAsia="仿宋_GB2312" w:cs="仿宋_GB2312"/>
          <w:kern w:val="0"/>
          <w:sz w:val="32"/>
          <w:szCs w:val="32"/>
          <w:u w:color="000000"/>
          <w:shd w:val="clear" w:fill="FFFFFF"/>
          <w:lang w:val="en-US" w:eastAsia="zh-CN" w:bidi="ar"/>
        </w:rPr>
        <w:t>。大力实施老年健康促进行动，</w:t>
      </w:r>
      <w:r>
        <w:rPr>
          <w:rFonts w:hint="eastAsia" w:ascii="仿宋_GB2312" w:hAnsi="宋体" w:eastAsia="仿宋_GB2312" w:cs="仿宋_GB2312"/>
          <w:kern w:val="0"/>
          <w:sz w:val="32"/>
          <w:szCs w:val="32"/>
          <w:u w:color="000000"/>
          <w:shd w:val="clear" w:fill="FFFFFF"/>
          <w:lang w:val="en-US" w:eastAsia="zh-CN" w:bidi="ar"/>
        </w:rPr>
        <w:t>加强失能、失智老年人的健康评估和预防干预，</w:t>
      </w:r>
      <w:r>
        <w:rPr>
          <w:rFonts w:hint="eastAsia" w:ascii="仿宋_GB2312" w:hAnsi="仿宋_GB2312" w:eastAsia="仿宋_GB2312" w:cs="仿宋_GB2312"/>
          <w:kern w:val="0"/>
          <w:sz w:val="32"/>
          <w:szCs w:val="32"/>
          <w:u w:color="000000"/>
          <w:shd w:val="clear" w:fill="FFFFFF"/>
          <w:lang w:val="en-US" w:eastAsia="zh-CN" w:bidi="ar"/>
        </w:rPr>
        <w:t>落实长期护理保险制度，</w:t>
      </w:r>
      <w:r>
        <w:rPr>
          <w:rFonts w:hint="eastAsia" w:ascii="仿宋_GB2312" w:hAnsi="宋体" w:eastAsia="仿宋_GB2312" w:cs="仿宋_GB2312"/>
          <w:kern w:val="0"/>
          <w:sz w:val="32"/>
          <w:szCs w:val="32"/>
          <w:u w:color="000000"/>
          <w:shd w:val="clear" w:fill="FFFFFF"/>
          <w:lang w:val="en-US" w:eastAsia="zh-CN" w:bidi="ar"/>
        </w:rPr>
        <w:t>着力解决老年人经济负担</w:t>
      </w:r>
      <w:r>
        <w:rPr>
          <w:rFonts w:hint="eastAsia" w:ascii="仿宋_GB2312" w:hAnsi="仿宋_GB2312" w:eastAsia="仿宋_GB2312" w:cs="仿宋_GB2312"/>
          <w:kern w:val="0"/>
          <w:sz w:val="32"/>
          <w:szCs w:val="32"/>
          <w:u w:color="000000"/>
          <w:shd w:val="clear" w:fill="FFFFFF"/>
          <w:lang w:val="en-US" w:eastAsia="zh-CN" w:bidi="ar"/>
        </w:rPr>
        <w:t>。健全医疗卫生机构与养老机构合作机制，支持社会力量</w:t>
      </w:r>
      <w:r>
        <w:rPr>
          <w:rFonts w:hint="eastAsia" w:ascii="仿宋_GB2312" w:hAnsi="宋体" w:eastAsia="仿宋_GB2312" w:cs="仿宋_GB2312"/>
          <w:kern w:val="0"/>
          <w:sz w:val="32"/>
          <w:szCs w:val="32"/>
          <w:u w:color="000000"/>
          <w:shd w:val="clear" w:fill="FFFFFF"/>
          <w:lang w:val="en-US" w:eastAsia="zh-CN" w:bidi="ar"/>
        </w:rPr>
        <w:t>举</w:t>
      </w:r>
      <w:r>
        <w:rPr>
          <w:rFonts w:hint="eastAsia" w:ascii="仿宋_GB2312" w:hAnsi="仿宋_GB2312" w:eastAsia="仿宋_GB2312" w:cs="仿宋_GB2312"/>
          <w:kern w:val="0"/>
          <w:sz w:val="32"/>
          <w:szCs w:val="32"/>
          <w:u w:color="000000"/>
          <w:shd w:val="clear" w:fill="FFFFFF"/>
          <w:lang w:val="en-US" w:eastAsia="zh-CN" w:bidi="ar"/>
        </w:rPr>
        <w:t>办医养结合机构，为老年人提供治疗</w:t>
      </w:r>
      <w:r>
        <w:rPr>
          <w:rFonts w:hint="eastAsia" w:ascii="仿宋_GB2312" w:hAnsi="宋体" w:eastAsia="仿宋_GB2312" w:cs="仿宋_GB2312"/>
          <w:kern w:val="0"/>
          <w:sz w:val="32"/>
          <w:szCs w:val="32"/>
          <w:u w:color="000000"/>
          <w:shd w:val="clear" w:fill="FFFFFF"/>
          <w:lang w:val="en-US" w:eastAsia="zh-CN" w:bidi="ar"/>
        </w:rPr>
        <w:t>期</w:t>
      </w:r>
      <w:r>
        <w:rPr>
          <w:rFonts w:hint="eastAsia" w:ascii="仿宋_GB2312" w:hAnsi="仿宋_GB2312" w:eastAsia="仿宋_GB2312" w:cs="仿宋_GB2312"/>
          <w:kern w:val="0"/>
          <w:sz w:val="32"/>
          <w:szCs w:val="32"/>
          <w:u w:color="000000"/>
          <w:shd w:val="clear" w:fill="FFFFFF"/>
          <w:lang w:val="en-US" w:eastAsia="zh-CN" w:bidi="ar"/>
        </w:rPr>
        <w:t>住院、康复期护理、稳定期生活照料、安宁疗护</w:t>
      </w:r>
      <w:r>
        <w:rPr>
          <w:rFonts w:hint="eastAsia" w:ascii="仿宋_GB2312" w:hAnsi="宋体" w:eastAsia="仿宋_GB2312" w:cs="仿宋_GB2312"/>
          <w:kern w:val="0"/>
          <w:sz w:val="32"/>
          <w:szCs w:val="32"/>
          <w:u w:color="000000"/>
          <w:shd w:val="clear" w:fill="FFFFFF"/>
          <w:lang w:val="en-US" w:eastAsia="zh-CN" w:bidi="ar"/>
        </w:rPr>
        <w:t>等</w:t>
      </w:r>
      <w:r>
        <w:rPr>
          <w:rFonts w:hint="eastAsia" w:ascii="仿宋_GB2312" w:hAnsi="仿宋_GB2312" w:eastAsia="仿宋_GB2312" w:cs="仿宋_GB2312"/>
          <w:kern w:val="0"/>
          <w:sz w:val="32"/>
          <w:szCs w:val="32"/>
          <w:u w:color="000000"/>
          <w:shd w:val="clear" w:fill="FFFFFF"/>
          <w:lang w:val="en-US" w:eastAsia="zh-CN" w:bidi="ar"/>
        </w:rPr>
        <w:t>一体化的健康养老服务。</w:t>
      </w:r>
    </w:p>
    <w:p w14:paraId="139273C7">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default" w:ascii="Times New Roman" w:hAnsi="Times New Roman" w:eastAsia="仿宋_GB2312" w:cs="Times New Roman"/>
          <w:sz w:val="32"/>
          <w:szCs w:val="32"/>
          <w:u w:color="000000"/>
        </w:rPr>
      </w:pPr>
      <w:r>
        <w:rPr>
          <w:rFonts w:hint="eastAsia" w:ascii="楷体" w:hAnsi="楷体" w:eastAsia="楷体" w:cs="楷体"/>
          <w:bCs/>
          <w:color w:val="000000"/>
          <w:kern w:val="0"/>
          <w:sz w:val="32"/>
          <w:szCs w:val="32"/>
          <w:u w:color="000000"/>
          <w:lang w:val="en-US" w:eastAsia="zh-CN" w:bidi="ar"/>
        </w:rPr>
        <w:t>（七）抓牢医疗质量安全</w:t>
      </w:r>
    </w:p>
    <w:p w14:paraId="7C84C0A9">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default" w:ascii="Times New Roman" w:hAnsi="Times New Roman" w:eastAsia="仿宋_GB2312" w:cs="Times New Roman"/>
          <w:sz w:val="32"/>
          <w:szCs w:val="32"/>
          <w:u w:color="000000"/>
        </w:rPr>
      </w:pPr>
      <w:r>
        <w:rPr>
          <w:rFonts w:hint="eastAsia" w:ascii="仿宋_GB2312" w:hAnsi="Times New Roman" w:eastAsia="仿宋_GB2312" w:cs="仿宋_GB2312"/>
          <w:color w:val="000000"/>
          <w:kern w:val="0"/>
          <w:sz w:val="32"/>
          <w:szCs w:val="32"/>
          <w:u w:color="000000"/>
          <w:lang w:val="en-US" w:eastAsia="zh-CN" w:bidi="ar"/>
        </w:rPr>
        <w:t>围绕医疗、护理、院感、药学、检验等质量安全，继续落实好各项医疗质量管理制度，责任到人，追责到人。同时定期组织区相关专家开展专项检查，规范医疗文书的书写、优化诊疗流程，加强重点部门的管理，实现以查问题促改善，以找短板促发展。以深入开展</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优质护理服务示范工程</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为载体，提升年轻护士技术操作能力和人性化服务水平，深入开展</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品管圈（</w:t>
      </w:r>
      <w:r>
        <w:rPr>
          <w:rFonts w:hint="default" w:ascii="Times New Roman" w:hAnsi="Times New Roman" w:eastAsia="仿宋_GB2312" w:cs="Times New Roman"/>
          <w:color w:val="000000"/>
          <w:kern w:val="0"/>
          <w:sz w:val="32"/>
          <w:szCs w:val="32"/>
          <w:u w:color="000000"/>
          <w:lang w:val="en-US" w:eastAsia="zh-CN" w:bidi="ar"/>
        </w:rPr>
        <w:t>QCC</w:t>
      </w:r>
      <w:r>
        <w:rPr>
          <w:rFonts w:hint="eastAsia" w:ascii="仿宋_GB2312" w:hAnsi="Times New Roman" w:eastAsia="仿宋_GB2312" w:cs="仿宋_GB2312"/>
          <w:color w:val="000000"/>
          <w:kern w:val="0"/>
          <w:sz w:val="32"/>
          <w:szCs w:val="32"/>
          <w:u w:color="000000"/>
          <w:lang w:val="en-US" w:eastAsia="zh-CN" w:bidi="ar"/>
        </w:rPr>
        <w:t>）</w:t>
      </w:r>
      <w:r>
        <w:rPr>
          <w:rFonts w:hint="default" w:ascii="Times New Roman" w:hAnsi="Times New Roman" w:eastAsia="仿宋_GB2312" w:cs="Times New Roman"/>
          <w:color w:val="000000"/>
          <w:kern w:val="0"/>
          <w:sz w:val="32"/>
          <w:szCs w:val="32"/>
          <w:u w:color="000000"/>
          <w:lang w:val="en-US" w:eastAsia="zh-CN" w:bidi="ar"/>
        </w:rPr>
        <w:t>”</w:t>
      </w:r>
      <w:r>
        <w:rPr>
          <w:rFonts w:hint="eastAsia" w:ascii="仿宋_GB2312" w:hAnsi="Times New Roman" w:eastAsia="仿宋_GB2312" w:cs="仿宋_GB2312"/>
          <w:color w:val="000000"/>
          <w:kern w:val="0"/>
          <w:sz w:val="32"/>
          <w:szCs w:val="32"/>
          <w:u w:color="000000"/>
          <w:lang w:val="en-US" w:eastAsia="zh-CN" w:bidi="ar"/>
        </w:rPr>
        <w:t>活动，全面应用到临床护理质量管理中，优化服务流程，规范服务标准，有效提升护理人员的管理意识，确保医疗护理安全，全面提升医疗服务质量，病人的满意度明显提高。开展改善医疗服务活动和</w:t>
      </w:r>
      <w:r>
        <w:rPr>
          <w:rFonts w:hint="default" w:ascii="Times New Roman" w:hAnsi="Times New Roman" w:eastAsia="仿宋_GB2312" w:cs="Times New Roman"/>
          <w:bCs/>
          <w:color w:val="000000"/>
          <w:kern w:val="0"/>
          <w:sz w:val="32"/>
          <w:szCs w:val="32"/>
          <w:u w:color="000000"/>
          <w:lang w:val="en-US" w:eastAsia="zh-CN" w:bidi="ar"/>
        </w:rPr>
        <w:t>“</w:t>
      </w:r>
      <w:r>
        <w:rPr>
          <w:rFonts w:hint="eastAsia" w:ascii="仿宋_GB2312" w:hAnsi="仿宋_GB2312" w:eastAsia="仿宋_GB2312" w:cs="仿宋_GB2312"/>
          <w:bCs/>
          <w:color w:val="000000"/>
          <w:kern w:val="0"/>
          <w:sz w:val="32"/>
          <w:szCs w:val="32"/>
          <w:u w:color="000000"/>
          <w:lang w:val="en-US" w:eastAsia="zh-CN" w:bidi="ar"/>
        </w:rPr>
        <w:t>优质服务基层行</w:t>
      </w:r>
      <w:r>
        <w:rPr>
          <w:rFonts w:hint="default" w:ascii="Times New Roman" w:hAnsi="Times New Roman" w:eastAsia="仿宋_GB2312" w:cs="Times New Roman"/>
          <w:bCs/>
          <w:color w:val="000000"/>
          <w:kern w:val="0"/>
          <w:sz w:val="32"/>
          <w:szCs w:val="32"/>
          <w:u w:color="000000"/>
          <w:lang w:val="en-US" w:eastAsia="zh-CN" w:bidi="ar"/>
        </w:rPr>
        <w:t>”</w:t>
      </w:r>
      <w:r>
        <w:rPr>
          <w:rFonts w:hint="eastAsia" w:ascii="仿宋_GB2312" w:hAnsi="仿宋_GB2312" w:eastAsia="仿宋_GB2312" w:cs="仿宋_GB2312"/>
          <w:bCs/>
          <w:color w:val="000000"/>
          <w:kern w:val="0"/>
          <w:sz w:val="32"/>
          <w:szCs w:val="32"/>
          <w:u w:color="000000"/>
          <w:lang w:val="en-US" w:eastAsia="zh-CN" w:bidi="ar"/>
        </w:rPr>
        <w:t>活动</w:t>
      </w:r>
      <w:r>
        <w:rPr>
          <w:rFonts w:hint="eastAsia" w:ascii="仿宋_GB2312" w:hAnsi="Times New Roman" w:eastAsia="仿宋_GB2312" w:cs="仿宋_GB2312"/>
          <w:color w:val="000000"/>
          <w:kern w:val="0"/>
          <w:sz w:val="32"/>
          <w:szCs w:val="32"/>
          <w:u w:color="000000"/>
          <w:lang w:val="en-US" w:eastAsia="zh-CN" w:bidi="ar"/>
        </w:rPr>
        <w:t>。</w:t>
      </w:r>
    </w:p>
    <w:p w14:paraId="7CA02416">
      <w:pPr>
        <w:pStyle w:val="11"/>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eastAsia" w:ascii="楷体" w:hAnsi="楷体" w:eastAsia="楷体" w:cs="楷体"/>
          <w:sz w:val="32"/>
          <w:szCs w:val="32"/>
          <w:u w:color="000000"/>
        </w:rPr>
      </w:pPr>
      <w:r>
        <w:rPr>
          <w:rFonts w:hint="eastAsia" w:ascii="楷体" w:hAnsi="楷体" w:eastAsia="楷体" w:cs="楷体"/>
          <w:color w:val="000000"/>
          <w:kern w:val="0"/>
          <w:sz w:val="32"/>
          <w:szCs w:val="32"/>
          <w:u w:color="000000"/>
          <w:lang w:val="en-US" w:eastAsia="zh-CN" w:bidi="ar"/>
        </w:rPr>
        <w:t>大力发展健康产业</w:t>
      </w:r>
    </w:p>
    <w:p w14:paraId="7A37E64B">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eastAsia" w:ascii="仿宋_GB2312" w:hAnsi="Times New Roman" w:eastAsia="仿宋_GB2312" w:cs="仿宋_GB2312"/>
          <w:color w:val="000000"/>
          <w:kern w:val="0"/>
          <w:sz w:val="32"/>
          <w:szCs w:val="32"/>
          <w:u w:color="000000"/>
          <w:lang w:val="en-US" w:eastAsia="zh-CN" w:bidi="ar"/>
        </w:rPr>
      </w:pPr>
      <w:r>
        <w:rPr>
          <w:rFonts w:hint="eastAsia" w:ascii="仿宋_GB2312" w:hAnsi="Times New Roman" w:eastAsia="仿宋_GB2312" w:cs="仿宋_GB2312"/>
          <w:color w:val="000000"/>
          <w:kern w:val="0"/>
          <w:sz w:val="32"/>
          <w:szCs w:val="32"/>
          <w:u w:color="000000"/>
          <w:lang w:val="en-US" w:eastAsia="zh-CN" w:bidi="ar"/>
        </w:rPr>
        <w:t>支持社会力量在医疗资源薄弱区域和康复、护理、精神卫生等短缺专科领域举办非营利性医疗机构，满足群众多层次医疗服务需求。积极促进健康与养老、旅游、互联网、健身休闲、食品融合，催生健康新产业、新业态、新模式。引导发展专业的医学检验中心、医疗影像中心、病理诊断中心和血液透析中心等。发展专业医药园区，促进医药产业发展。</w:t>
      </w:r>
    </w:p>
    <w:p w14:paraId="7C43CC31">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Times New Roman" w:eastAsia="仿宋_GB2312" w:cs="仿宋_GB2312"/>
          <w:color w:val="000000"/>
          <w:kern w:val="0"/>
          <w:sz w:val="32"/>
          <w:szCs w:val="32"/>
          <w:u w:color="000000"/>
          <w:lang w:val="en-US" w:eastAsia="zh-CN" w:bidi="ar"/>
        </w:rPr>
      </w:pPr>
      <w:r>
        <w:rPr>
          <w:rFonts w:hint="eastAsia" w:ascii="仿宋_GB2312" w:hAnsi="仿宋_GB2312" w:eastAsia="仿宋_GB2312" w:cs="仿宋_GB2312"/>
          <w:color w:val="000000"/>
          <w:kern w:val="0"/>
          <w:sz w:val="32"/>
          <w:szCs w:val="32"/>
          <w:lang w:val="en-US" w:eastAsia="zh-CN" w:bidi="ar-SA"/>
        </w:rPr>
        <w:t>大力推进国药控股广州花都有限公司、广州市保为康劳保用品有限公司等一批现有企业发展，大力支持广州花都区金域医学检验实验室有限公司等企业项目落地，加快建设粤港澳大湾区生物医药产业园</w:t>
      </w:r>
      <w:r>
        <w:rPr>
          <w:rFonts w:hint="eastAsia" w:eastAsia="仿宋_GB2312" w:cs="仿宋_GB2312"/>
          <w:color w:val="000000"/>
          <w:kern w:val="0"/>
          <w:sz w:val="32"/>
          <w:szCs w:val="32"/>
          <w:lang w:val="en-US" w:eastAsia="zh-CN" w:bidi="ar-SA"/>
        </w:rPr>
        <w:t>。</w:t>
      </w:r>
      <w:r>
        <w:rPr>
          <w:rFonts w:hint="eastAsia" w:ascii="仿宋_GB2312" w:hAnsi="宋体" w:eastAsia="仿宋_GB2312" w:cs="宋体"/>
          <w:b w:val="0"/>
          <w:bCs w:val="0"/>
          <w:i w:val="0"/>
          <w:iCs w:val="0"/>
          <w:caps w:val="0"/>
          <w:color w:val="000000"/>
          <w:spacing w:val="0"/>
          <w:sz w:val="32"/>
          <w:szCs w:val="32"/>
          <w:shd w:val="clear" w:fill="FFFFFF"/>
          <w:lang w:eastAsia="zh-CN"/>
        </w:rPr>
        <w:t>依托</w:t>
      </w:r>
      <w:r>
        <w:rPr>
          <w:rFonts w:hint="eastAsia" w:ascii="仿宋_GB2312" w:hAnsi="宋体" w:eastAsia="仿宋_GB2312" w:cs="宋体"/>
          <w:b w:val="0"/>
          <w:bCs w:val="0"/>
          <w:i w:val="0"/>
          <w:iCs w:val="0"/>
          <w:caps w:val="0"/>
          <w:color w:val="000000"/>
          <w:spacing w:val="0"/>
          <w:sz w:val="32"/>
          <w:szCs w:val="32"/>
          <w:shd w:val="clear" w:fill="FFFFFF"/>
        </w:rPr>
        <w:t>华南医谷产业园运营（广州）有限公司</w:t>
      </w:r>
      <w:r>
        <w:rPr>
          <w:rFonts w:hint="eastAsia" w:ascii="仿宋_GB2312" w:eastAsia="仿宋_GB2312"/>
          <w:color w:val="000000"/>
          <w:sz w:val="32"/>
          <w:szCs w:val="32"/>
          <w:lang w:eastAsia="zh-CN"/>
        </w:rPr>
        <w:t>，</w:t>
      </w:r>
      <w:r>
        <w:rPr>
          <w:rFonts w:hint="eastAsia" w:ascii="仿宋_GB2312" w:hAnsi="宋体" w:eastAsia="仿宋_GB2312" w:cs="宋体"/>
          <w:color w:val="000000"/>
          <w:sz w:val="32"/>
          <w:szCs w:val="32"/>
          <w:lang w:val="zh-CN"/>
        </w:rPr>
        <w:t>建设生物医药产业园（包括生物医学样本库、健康管理中心、生物医药孵化创新中心、医疗器械研发制造中心、医药制剂中心、细胞及免疫中心）</w:t>
      </w:r>
      <w:r>
        <w:rPr>
          <w:rFonts w:hint="eastAsia" w:hAnsi="宋体" w:eastAsia="仿宋_GB2312" w:cs="宋体"/>
          <w:color w:val="000000"/>
          <w:sz w:val="32"/>
          <w:szCs w:val="32"/>
          <w:lang w:val="zh-CN"/>
        </w:rPr>
        <w:t>，</w:t>
      </w:r>
      <w:r>
        <w:rPr>
          <w:rFonts w:hint="eastAsia" w:ascii="仿宋_GB2312" w:hAnsi="仿宋_GB2312" w:eastAsia="仿宋_GB2312" w:cs="仿宋_GB2312"/>
          <w:color w:val="000000"/>
          <w:kern w:val="0"/>
          <w:sz w:val="32"/>
          <w:szCs w:val="32"/>
          <w:lang w:val="en-US" w:eastAsia="zh-CN" w:bidi="ar-SA"/>
        </w:rPr>
        <w:t>助推我区</w:t>
      </w:r>
      <w:r>
        <w:rPr>
          <w:rFonts w:hint="eastAsia" w:ascii="仿宋_GB2312" w:hAnsi="仿宋_GB2312" w:eastAsia="仿宋_GB2312" w:cs="仿宋_GB2312"/>
          <w:color w:val="000000"/>
          <w:kern w:val="0"/>
          <w:sz w:val="32"/>
          <w:szCs w:val="32"/>
          <w:lang w:val="zh-CN" w:eastAsia="zh-CN" w:bidi="ar-SA"/>
        </w:rPr>
        <w:t>医疗与</w:t>
      </w:r>
      <w:r>
        <w:rPr>
          <w:rFonts w:hint="eastAsia" w:ascii="仿宋_GB2312" w:hAnsi="仿宋_GB2312" w:eastAsia="仿宋_GB2312" w:cs="仿宋_GB2312"/>
          <w:color w:val="000000"/>
          <w:kern w:val="0"/>
          <w:sz w:val="32"/>
          <w:szCs w:val="32"/>
          <w:lang w:val="en-US" w:eastAsia="zh-CN" w:bidi="ar-SA"/>
        </w:rPr>
        <w:t>生物医药产业创新发展。</w:t>
      </w:r>
      <w:r>
        <w:rPr>
          <w:rFonts w:hint="eastAsia" w:eastAsia="仿宋_GB2312" w:cs="仿宋_GB2312"/>
          <w:color w:val="000000"/>
          <w:kern w:val="0"/>
          <w:sz w:val="32"/>
          <w:szCs w:val="32"/>
          <w:lang w:val="en-US" w:eastAsia="zh-CN" w:bidi="ar-SA"/>
        </w:rPr>
        <w:t>依托</w:t>
      </w:r>
      <w:r>
        <w:rPr>
          <w:rFonts w:hint="eastAsia" w:ascii="仿宋_GB2312" w:hAnsi="仿宋_GB2312" w:eastAsia="仿宋_GB2312" w:cs="仿宋_GB2312"/>
          <w:color w:val="000000"/>
          <w:kern w:val="0"/>
          <w:sz w:val="32"/>
          <w:szCs w:val="32"/>
          <w:lang w:val="en-US" w:eastAsia="zh-CN" w:bidi="ar-SA"/>
        </w:rPr>
        <w:t>广东省中医临床研究院</w:t>
      </w:r>
      <w:r>
        <w:rPr>
          <w:rFonts w:hint="eastAsia" w:eastAsia="仿宋_GB2312" w:cs="仿宋_GB2312"/>
          <w:color w:val="000000"/>
          <w:kern w:val="0"/>
          <w:sz w:val="32"/>
          <w:szCs w:val="32"/>
          <w:lang w:val="en-US" w:eastAsia="zh-CN" w:bidi="ar-SA"/>
        </w:rPr>
        <w:t>，打造</w:t>
      </w:r>
      <w:r>
        <w:rPr>
          <w:rFonts w:hint="eastAsia" w:ascii="仿宋_GB2312" w:hAnsi="仿宋_GB2312" w:eastAsia="仿宋_GB2312" w:cs="仿宋_GB2312"/>
          <w:sz w:val="32"/>
          <w:szCs w:val="32"/>
          <w:lang w:eastAsia="zh-CN"/>
        </w:rPr>
        <w:t>国家级中医药产业研发、孵化平台</w:t>
      </w:r>
      <w:r>
        <w:rPr>
          <w:rFonts w:hint="eastAsia" w:eastAsia="仿宋_GB2312" w:cs="仿宋_GB2312"/>
          <w:sz w:val="32"/>
          <w:szCs w:val="32"/>
          <w:lang w:eastAsia="zh-CN"/>
        </w:rPr>
        <w:t>，并延伸中医制药产业和康养产业。</w:t>
      </w:r>
    </w:p>
    <w:p w14:paraId="203858C7">
      <w:pPr>
        <w:pStyle w:val="11"/>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0" w:beforeAutospacing="0" w:after="0" w:afterAutospacing="0" w:line="560" w:lineRule="exact"/>
        <w:ind w:left="0" w:right="0" w:firstLine="640" w:firstLineChars="200"/>
        <w:jc w:val="left"/>
        <w:rPr>
          <w:rFonts w:hint="eastAsia" w:ascii="楷体" w:hAnsi="楷体" w:eastAsia="楷体" w:cs="楷体"/>
          <w:sz w:val="32"/>
          <w:szCs w:val="32"/>
          <w:u w:color="000000"/>
        </w:rPr>
      </w:pPr>
      <w:r>
        <w:rPr>
          <w:rFonts w:hint="eastAsia" w:ascii="楷体" w:hAnsi="楷体" w:eastAsia="楷体" w:cs="楷体"/>
          <w:color w:val="000000"/>
          <w:kern w:val="0"/>
          <w:sz w:val="32"/>
          <w:szCs w:val="32"/>
          <w:u w:color="000000"/>
          <w:lang w:val="en-US" w:eastAsia="zh-CN" w:bidi="ar"/>
        </w:rPr>
        <w:t>完善支撑体系建设</w:t>
      </w:r>
    </w:p>
    <w:p w14:paraId="5DE7A5A3">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Times New Roman" w:hAnsi="Times New Roman" w:eastAsia="仿宋_GB2312" w:cs="Times New Roman"/>
          <w:kern w:val="2"/>
          <w:sz w:val="32"/>
          <w:szCs w:val="32"/>
          <w:shd w:val="clear" w:fill="FFFFFF"/>
        </w:rPr>
      </w:pPr>
      <w:r>
        <w:rPr>
          <w:rFonts w:hint="eastAsia" w:ascii="楷体" w:hAnsi="楷体" w:eastAsia="楷体" w:cs="楷体"/>
          <w:bCs/>
          <w:kern w:val="2"/>
          <w:sz w:val="32"/>
          <w:szCs w:val="32"/>
          <w:lang w:val="en-US" w:eastAsia="zh-CN" w:bidi="ar"/>
        </w:rPr>
        <w:t>1.加强人才队伍建设。</w:t>
      </w:r>
      <w:r>
        <w:rPr>
          <w:rFonts w:hint="eastAsia" w:ascii="仿宋_GB2312" w:hAnsi="仿宋_GB2312" w:eastAsia="仿宋_GB2312" w:cs="仿宋_GB2312"/>
          <w:bCs/>
          <w:kern w:val="2"/>
          <w:sz w:val="32"/>
          <w:szCs w:val="32"/>
          <w:lang w:val="en-US" w:eastAsia="zh-CN" w:bidi="ar"/>
        </w:rPr>
        <w:t>根据上级政策，积极争取更多医疗卫生机构编制。在公立医院探索推进编制备案制。</w:t>
      </w:r>
      <w:r>
        <w:rPr>
          <w:rFonts w:hint="eastAsia" w:ascii="仿宋_GB2312" w:hAnsi="Times New Roman" w:eastAsia="仿宋_GB2312" w:cs="仿宋_GB2312"/>
          <w:kern w:val="2"/>
          <w:sz w:val="32"/>
          <w:szCs w:val="32"/>
          <w:lang w:val="en-US" w:eastAsia="zh-CN" w:bidi="ar"/>
        </w:rPr>
        <w:t>完善卫生人才引进招聘政策，吸引</w:t>
      </w:r>
      <w:r>
        <w:rPr>
          <w:rFonts w:hint="eastAsia" w:ascii="仿宋_GB2312" w:hAnsi="仿宋_GB2312" w:eastAsia="仿宋_GB2312" w:cs="仿宋_GB2312"/>
          <w:kern w:val="2"/>
          <w:sz w:val="32"/>
          <w:szCs w:val="32"/>
          <w:shd w:val="clear" w:fill="FFFFFF"/>
          <w:lang w:val="en-US" w:eastAsia="zh-CN" w:bidi="ar"/>
        </w:rPr>
        <w:t>高层次</w:t>
      </w:r>
      <w:r>
        <w:rPr>
          <w:rFonts w:hint="eastAsia" w:ascii="仿宋_GB2312" w:hAnsi="Times New Roman" w:eastAsia="仿宋_GB2312" w:cs="仿宋_GB2312"/>
          <w:kern w:val="2"/>
          <w:sz w:val="32"/>
          <w:szCs w:val="32"/>
          <w:lang w:val="en-US" w:eastAsia="zh-CN" w:bidi="ar"/>
        </w:rPr>
        <w:t>医疗人才，提升我区综合医疗水平。</w:t>
      </w:r>
      <w:r>
        <w:rPr>
          <w:rFonts w:hint="eastAsia" w:ascii="仿宋_GB2312" w:hAnsi="仿宋_GB2312" w:eastAsia="仿宋_GB2312" w:cs="仿宋_GB2312"/>
          <w:kern w:val="2"/>
          <w:sz w:val="32"/>
          <w:szCs w:val="32"/>
          <w:shd w:val="clear" w:fill="FFFFFF"/>
          <w:lang w:val="en-US" w:eastAsia="zh-CN" w:bidi="ar"/>
        </w:rPr>
        <w:t>建立有利于人才培养使用的制度，</w:t>
      </w:r>
      <w:r>
        <w:rPr>
          <w:rFonts w:hint="eastAsia" w:ascii="仿宋_GB2312" w:hAnsi="Calibri" w:eastAsia="仿宋_GB2312" w:cs="仿宋_GB2312"/>
          <w:kern w:val="2"/>
          <w:sz w:val="32"/>
          <w:szCs w:val="32"/>
          <w:shd w:val="clear" w:fill="FFFFFF"/>
          <w:lang w:val="en-US" w:eastAsia="zh-CN" w:bidi="ar"/>
        </w:rPr>
        <w:t>加强对公共卫生、精神科等急需紧缺人才的培育培训，</w:t>
      </w:r>
      <w:r>
        <w:rPr>
          <w:rFonts w:hint="eastAsia" w:ascii="仿宋_GB2312" w:hAnsi="仿宋_GB2312" w:eastAsia="仿宋_GB2312" w:cs="仿宋_GB2312"/>
          <w:kern w:val="2"/>
          <w:sz w:val="32"/>
          <w:szCs w:val="32"/>
          <w:shd w:val="clear" w:fill="FFFFFF"/>
          <w:lang w:val="en-US" w:eastAsia="zh-CN" w:bidi="ar"/>
        </w:rPr>
        <w:t>加强对基层卫生人才的培养和政策支持，</w:t>
      </w:r>
      <w:r>
        <w:rPr>
          <w:rFonts w:hint="eastAsia" w:ascii="仿宋_GB2312" w:hAnsi="Times New Roman" w:eastAsia="仿宋_GB2312" w:cs="仿宋_GB2312"/>
          <w:kern w:val="2"/>
          <w:sz w:val="32"/>
          <w:szCs w:val="32"/>
          <w:lang w:val="en-US" w:eastAsia="zh-CN" w:bidi="ar"/>
        </w:rPr>
        <w:t>加大全科医生的培养力度，推进住院医生规范化、专科医师规范化和公共卫生医师规范化培训工作。继续推进人才纵向交流工作。</w:t>
      </w:r>
      <w:r>
        <w:rPr>
          <w:rFonts w:hint="eastAsia" w:ascii="仿宋_GB2312" w:hAnsi="仿宋_GB2312" w:eastAsia="仿宋_GB2312" w:cs="仿宋_GB2312"/>
          <w:kern w:val="2"/>
          <w:sz w:val="32"/>
          <w:szCs w:val="32"/>
          <w:shd w:val="clear" w:fill="FFFFFF"/>
          <w:lang w:val="en-US" w:eastAsia="zh-CN" w:bidi="ar"/>
        </w:rPr>
        <w:t>改革卫生健康人才评价机制，</w:t>
      </w:r>
      <w:r>
        <w:rPr>
          <w:rFonts w:hint="eastAsia" w:ascii="仿宋_GB2312" w:hAnsi="Calibri" w:eastAsia="仿宋_GB2312" w:cs="仿宋_GB2312"/>
          <w:kern w:val="2"/>
          <w:sz w:val="32"/>
          <w:szCs w:val="32"/>
          <w:shd w:val="clear" w:fill="FFFFFF"/>
          <w:lang w:val="en-US" w:eastAsia="zh-CN" w:bidi="ar"/>
        </w:rPr>
        <w:t>树立</w:t>
      </w:r>
      <w:r>
        <w:rPr>
          <w:rFonts w:hint="eastAsia" w:ascii="仿宋_GB2312" w:hAnsi="仿宋_GB2312" w:eastAsia="仿宋_GB2312" w:cs="仿宋_GB2312"/>
          <w:kern w:val="2"/>
          <w:sz w:val="32"/>
          <w:szCs w:val="32"/>
          <w:shd w:val="clear" w:fill="FFFFFF"/>
          <w:lang w:val="en-US" w:eastAsia="zh-CN" w:bidi="ar"/>
        </w:rPr>
        <w:t>以品德、业绩、能力为重点的评价方向。</w:t>
      </w:r>
      <w:r>
        <w:rPr>
          <w:rFonts w:hint="eastAsia" w:ascii="仿宋_GB2312" w:hAnsi="Calibri" w:eastAsia="仿宋_GB2312" w:cs="仿宋_GB2312"/>
          <w:kern w:val="2"/>
          <w:sz w:val="32"/>
          <w:szCs w:val="32"/>
          <w:shd w:val="clear" w:fill="FFFFFF"/>
          <w:lang w:val="en-US" w:eastAsia="zh-CN" w:bidi="ar"/>
        </w:rPr>
        <w:t>鼓励医务人员积极开展科技创新，加强重大技术创新和适宜技术的转化推广，构建产学研医多元参与、分工合作的开放式医学协同创新体系。</w:t>
      </w:r>
    </w:p>
    <w:p w14:paraId="681D9AA9">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仿宋_GB2312" w:eastAsia="仿宋_GB2312" w:cs="Times New Roman"/>
          <w:kern w:val="2"/>
          <w:sz w:val="32"/>
          <w:szCs w:val="32"/>
          <w:shd w:val="clear" w:fill="FFFFFF"/>
        </w:rPr>
      </w:pPr>
      <w:r>
        <w:rPr>
          <w:rFonts w:hint="eastAsia" w:ascii="楷体" w:hAnsi="楷体" w:eastAsia="楷体" w:cs="楷体"/>
          <w:bCs/>
          <w:kern w:val="2"/>
          <w:sz w:val="32"/>
          <w:szCs w:val="32"/>
          <w:lang w:val="en-US" w:eastAsia="zh-CN" w:bidi="ar"/>
        </w:rPr>
        <w:t>2.推进信息化建设。</w:t>
      </w:r>
      <w:r>
        <w:rPr>
          <w:rFonts w:hint="eastAsia" w:ascii="仿宋_GB2312" w:hAnsi="仿宋_GB2312" w:eastAsia="仿宋_GB2312" w:cs="仿宋_GB2312"/>
          <w:kern w:val="2"/>
          <w:sz w:val="32"/>
          <w:szCs w:val="32"/>
          <w:shd w:val="clear" w:fill="FFFFFF"/>
          <w:lang w:val="en-US" w:eastAsia="zh-CN" w:bidi="ar"/>
        </w:rPr>
        <w:t>推动医院信息化发展，加强信息网络安全保障，以区域联动式的信息化建设为主线，充分发挥医疗集团龙头医院的作用。在医院积极推进电子病历评级、智慧医院和优质服务基层行等相关的建设，在区域内重点开展互联互通成熟度测评相关建设，实现横向互联互通、数据共享，并通过区域互联互通成熟度四级甲等测评。以医疗集团为单位，开展集团内的药学服务管理信息化建设。推进对居家健康智能化设备数据的互认接入，提高家庭医生的服务能力。加深</w:t>
      </w:r>
      <w:r>
        <w:rPr>
          <w:rFonts w:hint="default" w:ascii="Times New Roman" w:hAnsi="仿宋_GB2312" w:eastAsia="仿宋_GB2312" w:cs="Times New Roman"/>
          <w:kern w:val="2"/>
          <w:sz w:val="32"/>
          <w:szCs w:val="32"/>
          <w:shd w:val="clear" w:fill="FFFFFF"/>
          <w:lang w:val="en-US" w:eastAsia="zh-CN" w:bidi="ar"/>
        </w:rPr>
        <w:t>5G</w:t>
      </w:r>
      <w:r>
        <w:rPr>
          <w:rFonts w:hint="eastAsia" w:ascii="仿宋_GB2312" w:hAnsi="仿宋_GB2312" w:eastAsia="仿宋_GB2312" w:cs="仿宋_GB2312"/>
          <w:kern w:val="2"/>
          <w:sz w:val="32"/>
          <w:szCs w:val="32"/>
          <w:shd w:val="clear" w:fill="FFFFFF"/>
          <w:lang w:val="en-US" w:eastAsia="zh-CN" w:bidi="ar"/>
        </w:rPr>
        <w:t>、人工智能、区块链等技术在各医疗机构的应用场景，让诊疗活动更智能。充分利用好区域卫生信息平台的数据，实现在领导决策、医疗服务、公卫服务和科研项目的数据支撑常态化。</w:t>
      </w:r>
    </w:p>
    <w:p w14:paraId="64B3D6B4">
      <w:pPr>
        <w:pStyle w:val="11"/>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rPr>
          <w:rFonts w:hint="default" w:ascii="Calibri" w:hAnsi="Calibri" w:eastAsia="仿宋_GB2312" w:cs="Times New Roman"/>
          <w:kern w:val="2"/>
          <w:sz w:val="28"/>
          <w:szCs w:val="28"/>
        </w:rPr>
      </w:pPr>
      <w:r>
        <w:rPr>
          <w:rFonts w:hint="eastAsia" w:ascii="Times New Roman" w:hAnsi="Calibri" w:eastAsia="仿宋_GB2312" w:cs="Times New Roman"/>
          <w:kern w:val="2"/>
          <w:sz w:val="28"/>
          <w:szCs w:val="28"/>
          <w:shd w:val="clear" w:fill="FFFFFF"/>
          <w:lang w:val="en-US" w:eastAsia="zh-CN" w:bidi="ar"/>
        </w:rPr>
        <w:t xml:space="preserve">   </w:t>
      </w:r>
      <w:r>
        <w:rPr>
          <w:rFonts w:hint="eastAsia" w:ascii="楷体" w:hAnsi="楷体" w:eastAsia="楷体" w:cs="Times New Roman"/>
          <w:bCs/>
          <w:kern w:val="2"/>
          <w:sz w:val="32"/>
          <w:szCs w:val="32"/>
          <w:lang w:val="en-US" w:eastAsia="zh-CN" w:bidi="ar"/>
        </w:rPr>
        <w:t xml:space="preserve"> </w:t>
      </w:r>
      <w:r>
        <w:rPr>
          <w:rFonts w:hint="eastAsia" w:ascii="楷体" w:hAnsi="楷体" w:eastAsia="楷体" w:cs="楷体"/>
          <w:bCs/>
          <w:kern w:val="2"/>
          <w:sz w:val="32"/>
          <w:szCs w:val="32"/>
          <w:lang w:val="en-US" w:eastAsia="zh-CN" w:bidi="ar"/>
        </w:rPr>
        <w:t>3.加强卫生健康法治建设。</w:t>
      </w:r>
      <w:r>
        <w:rPr>
          <w:rFonts w:hint="eastAsia" w:ascii="仿宋_GB2312" w:hAnsi="Calibri" w:eastAsia="仿宋_GB2312" w:cs="仿宋_GB2312"/>
          <w:kern w:val="2"/>
          <w:sz w:val="32"/>
          <w:szCs w:val="32"/>
          <w:shd w:val="clear" w:fill="FFFFFF"/>
          <w:lang w:val="en-US" w:eastAsia="zh-CN" w:bidi="ar"/>
        </w:rPr>
        <w:t>加强依法治理体系和依法治理能力建设，落实行政执法公示制度、执法全过程记录制度和重大执法决定法制审核制度。继续深化“放管服”改革和政府职能转变工作，依法推进政务公开。落实“谁执法谁普法”责任制，加强向社会宣传卫生健康领域的法律法规和卫生健康标准，提升全社会守法意识和标准化意识。</w:t>
      </w:r>
    </w:p>
    <w:p w14:paraId="248A72DB">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2"/>
          <w:sz w:val="32"/>
          <w:szCs w:val="32"/>
        </w:rPr>
      </w:pPr>
      <w:r>
        <w:rPr>
          <w:rFonts w:hint="eastAsia" w:ascii="楷体" w:hAnsi="楷体" w:eastAsia="楷体" w:cs="楷体"/>
          <w:bCs/>
          <w:kern w:val="2"/>
          <w:sz w:val="32"/>
          <w:szCs w:val="32"/>
          <w:lang w:val="en-US" w:eastAsia="zh-CN" w:bidi="ar"/>
        </w:rPr>
        <w:t>4.加强医德行风建设。</w:t>
      </w:r>
      <w:r>
        <w:rPr>
          <w:rFonts w:hint="eastAsia" w:ascii="仿宋_GB2312" w:hAnsi="仿宋_GB2312" w:eastAsia="仿宋_GB2312" w:cs="仿宋_GB2312"/>
          <w:kern w:val="2"/>
          <w:sz w:val="32"/>
          <w:szCs w:val="32"/>
          <w:shd w:val="clear" w:fill="FFFFFF"/>
          <w:lang w:val="en-US" w:eastAsia="zh-CN" w:bidi="ar"/>
        </w:rPr>
        <w:t>落实党风廉政建设责任制主体责任，实行</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一岗双责</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，坚持</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一案双查</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w:t>
      </w:r>
      <w:r>
        <w:rPr>
          <w:rFonts w:hint="eastAsia" w:ascii="仿宋_GB2312" w:hAnsi="Times New Roman" w:eastAsia="仿宋_GB2312" w:cs="仿宋_GB2312"/>
          <w:bCs/>
          <w:kern w:val="0"/>
          <w:sz w:val="32"/>
          <w:szCs w:val="32"/>
          <w:lang w:val="en-US" w:eastAsia="zh-CN" w:bidi="ar"/>
        </w:rPr>
        <w:t>加强卫生健康系统党的纪律建设，坚决打击卫生健康领域腐败行为，强化对党建党廉绩效考核结果的运用，惩防并举，努力构建卫生健康事业发展的良好环境。</w:t>
      </w:r>
      <w:r>
        <w:rPr>
          <w:rFonts w:hint="eastAsia" w:ascii="仿宋_GB2312" w:hAnsi="仿宋_GB2312" w:eastAsia="仿宋_GB2312" w:cs="仿宋_GB2312"/>
          <w:kern w:val="2"/>
          <w:sz w:val="32"/>
          <w:szCs w:val="32"/>
          <w:shd w:val="clear" w:fill="FFFFFF"/>
          <w:lang w:val="en-US" w:eastAsia="zh-CN" w:bidi="ar"/>
        </w:rPr>
        <w:t>加强医德医风建设，要弘扬伟大</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抗疫</w:t>
      </w:r>
      <w:r>
        <w:rPr>
          <w:rFonts w:hint="default" w:ascii="Times New Roman" w:hAnsi="Times New Roman" w:eastAsia="仿宋_GB2312" w:cs="Times New Roman"/>
          <w:kern w:val="2"/>
          <w:sz w:val="32"/>
          <w:szCs w:val="32"/>
          <w:shd w:val="clear" w:fill="FFFFFF"/>
          <w:lang w:val="en-US" w:eastAsia="zh-CN" w:bidi="ar"/>
        </w:rPr>
        <w:t>”</w:t>
      </w:r>
      <w:r>
        <w:rPr>
          <w:rFonts w:hint="eastAsia" w:ascii="仿宋_GB2312" w:hAnsi="仿宋_GB2312" w:eastAsia="仿宋_GB2312" w:cs="仿宋_GB2312"/>
          <w:kern w:val="2"/>
          <w:sz w:val="32"/>
          <w:szCs w:val="32"/>
          <w:shd w:val="clear" w:fill="FFFFFF"/>
          <w:lang w:val="en-US" w:eastAsia="zh-CN" w:bidi="ar"/>
        </w:rPr>
        <w:t>精神，树立救死扶伤、忠于职守，爱岗敬业、开拓进取、精益求精，乐于奉献、文明行医的行业风尚，自觉抵制拜金主义、个人主义及一切有损于群众利益的行为，在全社会营造尊医重卫的良好风尚。</w:t>
      </w:r>
    </w:p>
    <w:p w14:paraId="63FA005B">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四、保障措施</w:t>
      </w:r>
    </w:p>
    <w:p w14:paraId="5787513B">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0"/>
          <w:sz w:val="32"/>
          <w:szCs w:val="32"/>
          <w:shd w:val="clear" w:fill="FFFFFF"/>
        </w:rPr>
      </w:pPr>
      <w:r>
        <w:rPr>
          <w:rFonts w:hint="eastAsia" w:ascii="楷体" w:hAnsi="楷体" w:eastAsia="楷体" w:cs="楷体"/>
          <w:bCs/>
          <w:kern w:val="0"/>
          <w:sz w:val="32"/>
          <w:szCs w:val="32"/>
          <w:u w:color="000000"/>
          <w:shd w:val="clear" w:fill="FFFFFF"/>
          <w:lang w:val="en-US" w:eastAsia="zh-CN" w:bidi="ar"/>
        </w:rPr>
        <w:t>（一）加强组织领导</w:t>
      </w:r>
      <w:r>
        <w:rPr>
          <w:rFonts w:hint="eastAsia" w:ascii="楷体" w:hAnsi="楷体" w:eastAsia="楷体" w:cs="楷体"/>
          <w:kern w:val="0"/>
          <w:sz w:val="32"/>
          <w:szCs w:val="32"/>
          <w:shd w:val="clear" w:fill="FFFFFF"/>
          <w:lang w:val="en-US" w:eastAsia="zh-CN" w:bidi="ar"/>
        </w:rPr>
        <w:t>。</w:t>
      </w:r>
      <w:r>
        <w:rPr>
          <w:rFonts w:hint="eastAsia" w:ascii="仿宋_GB2312" w:hAnsi="Calibri" w:eastAsia="仿宋_GB2312" w:cs="仿宋_GB2312"/>
          <w:kern w:val="0"/>
          <w:sz w:val="32"/>
          <w:szCs w:val="32"/>
          <w:shd w:val="clear" w:fill="FFFFFF"/>
          <w:lang w:val="en-US" w:eastAsia="zh-CN" w:bidi="ar"/>
        </w:rPr>
        <w:t>卫生健康</w:t>
      </w:r>
      <w:r>
        <w:rPr>
          <w:rFonts w:hint="eastAsia" w:ascii="仿宋_GB2312" w:hAnsi="仿宋_GB2312" w:eastAsia="仿宋_GB2312" w:cs="仿宋_GB2312"/>
          <w:kern w:val="0"/>
          <w:sz w:val="32"/>
          <w:szCs w:val="32"/>
          <w:shd w:val="clear" w:fill="FFFFFF"/>
          <w:lang w:val="en-US" w:eastAsia="zh-CN" w:bidi="ar"/>
        </w:rPr>
        <w:t>规划是区政府对</w:t>
      </w:r>
      <w:r>
        <w:rPr>
          <w:rFonts w:hint="eastAsia" w:ascii="仿宋_GB2312" w:hAnsi="Calibri" w:eastAsia="仿宋_GB2312" w:cs="仿宋_GB2312"/>
          <w:kern w:val="0"/>
          <w:sz w:val="32"/>
          <w:szCs w:val="32"/>
          <w:shd w:val="clear" w:fill="FFFFFF"/>
          <w:lang w:val="en-US" w:eastAsia="zh-CN" w:bidi="ar"/>
        </w:rPr>
        <w:t>卫生健康</w:t>
      </w:r>
      <w:r>
        <w:rPr>
          <w:rFonts w:hint="eastAsia" w:ascii="仿宋_GB2312" w:hAnsi="仿宋_GB2312" w:eastAsia="仿宋_GB2312" w:cs="仿宋_GB2312"/>
          <w:kern w:val="0"/>
          <w:sz w:val="32"/>
          <w:szCs w:val="32"/>
          <w:shd w:val="clear" w:fill="FFFFFF"/>
          <w:lang w:val="en-US" w:eastAsia="zh-CN" w:bidi="ar"/>
        </w:rPr>
        <w:t>事业进行宏观调控的重要手段。各相关单位要对照各自职责，加强对</w:t>
      </w:r>
      <w:r>
        <w:rPr>
          <w:rFonts w:hint="eastAsia" w:ascii="仿宋_GB2312" w:hAnsi="Calibri" w:eastAsia="仿宋_GB2312" w:cs="仿宋_GB2312"/>
          <w:kern w:val="0"/>
          <w:sz w:val="32"/>
          <w:szCs w:val="32"/>
          <w:shd w:val="clear" w:fill="FFFFFF"/>
          <w:lang w:val="en-US" w:eastAsia="zh-CN" w:bidi="ar"/>
        </w:rPr>
        <w:t>卫生健康</w:t>
      </w:r>
      <w:r>
        <w:rPr>
          <w:rFonts w:hint="eastAsia" w:ascii="仿宋_GB2312" w:hAnsi="仿宋_GB2312" w:eastAsia="仿宋_GB2312" w:cs="仿宋_GB2312"/>
          <w:kern w:val="0"/>
          <w:sz w:val="32"/>
          <w:szCs w:val="32"/>
          <w:shd w:val="clear" w:fill="FFFFFF"/>
          <w:lang w:val="en-US" w:eastAsia="zh-CN" w:bidi="ar"/>
        </w:rPr>
        <w:t>规划工作的支持，加强沟通联系，</w:t>
      </w:r>
      <w:r>
        <w:rPr>
          <w:rFonts w:hint="eastAsia" w:ascii="仿宋_GB2312" w:hAnsi="Calibri" w:eastAsia="仿宋_GB2312" w:cs="仿宋_GB2312"/>
          <w:kern w:val="0"/>
          <w:sz w:val="32"/>
          <w:szCs w:val="32"/>
          <w:shd w:val="clear" w:fill="FFFFFF"/>
          <w:lang w:val="en-US" w:eastAsia="zh-CN" w:bidi="ar"/>
        </w:rPr>
        <w:t>密切配合</w:t>
      </w:r>
      <w:r>
        <w:rPr>
          <w:rFonts w:hint="eastAsia" w:ascii="仿宋_GB2312" w:hAnsi="仿宋_GB2312" w:eastAsia="仿宋_GB2312" w:cs="仿宋_GB2312"/>
          <w:kern w:val="0"/>
          <w:sz w:val="32"/>
          <w:szCs w:val="32"/>
          <w:shd w:val="clear" w:fill="FFFFFF"/>
          <w:lang w:val="en-US" w:eastAsia="zh-CN" w:bidi="ar"/>
        </w:rPr>
        <w:t>，协调一致推进</w:t>
      </w:r>
      <w:r>
        <w:rPr>
          <w:rFonts w:hint="eastAsia" w:ascii="仿宋_GB2312" w:hAnsi="Calibri" w:eastAsia="仿宋_GB2312" w:cs="仿宋_GB2312"/>
          <w:kern w:val="0"/>
          <w:sz w:val="32"/>
          <w:szCs w:val="32"/>
          <w:shd w:val="clear" w:fill="FFFFFF"/>
          <w:lang w:val="en-US" w:eastAsia="zh-CN" w:bidi="ar"/>
        </w:rPr>
        <w:t>卫生健康</w:t>
      </w:r>
      <w:r>
        <w:rPr>
          <w:rFonts w:hint="eastAsia" w:ascii="仿宋_GB2312" w:hAnsi="仿宋_GB2312" w:eastAsia="仿宋_GB2312" w:cs="仿宋_GB2312"/>
          <w:kern w:val="0"/>
          <w:sz w:val="32"/>
          <w:szCs w:val="32"/>
          <w:shd w:val="clear" w:fill="FFFFFF"/>
          <w:lang w:val="en-US" w:eastAsia="zh-CN" w:bidi="ar"/>
        </w:rPr>
        <w:t>规划落实。强化三医联动改革，确保医改顺利进行。</w:t>
      </w:r>
    </w:p>
    <w:p w14:paraId="774964B8">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640" w:firstLineChars="200"/>
        <w:jc w:val="both"/>
        <w:rPr>
          <w:rFonts w:hint="eastAsia" w:ascii="Times New Roman" w:hAnsi="Times New Roman" w:eastAsia="仿宋_GB2312" w:cs="Times New Roman"/>
          <w:kern w:val="0"/>
          <w:sz w:val="32"/>
          <w:szCs w:val="32"/>
          <w:shd w:val="clear" w:fill="FFFFFF"/>
        </w:rPr>
      </w:pPr>
      <w:r>
        <w:rPr>
          <w:rFonts w:hint="eastAsia" w:ascii="楷体" w:hAnsi="楷体" w:eastAsia="楷体" w:cs="楷体"/>
          <w:kern w:val="0"/>
          <w:sz w:val="32"/>
          <w:szCs w:val="32"/>
          <w:shd w:val="clear" w:fill="FFFFFF"/>
          <w:lang w:val="en-US" w:eastAsia="zh-CN" w:bidi="ar"/>
        </w:rPr>
        <w:t>（二）建立公平有效可持续的筹资体系。</w:t>
      </w:r>
      <w:r>
        <w:rPr>
          <w:rFonts w:hint="eastAsia" w:ascii="仿宋_GB2312" w:hAnsi="仿宋_GB2312" w:eastAsia="仿宋_GB2312" w:cs="仿宋_GB2312"/>
          <w:kern w:val="0"/>
          <w:sz w:val="32"/>
          <w:szCs w:val="32"/>
          <w:shd w:val="clear" w:fill="FFFFFF"/>
          <w:lang w:val="en-US" w:eastAsia="zh-CN" w:bidi="ar"/>
        </w:rPr>
        <w:t>进一步明确政府、社会与个人的卫生</w:t>
      </w:r>
      <w:r>
        <w:rPr>
          <w:rFonts w:hint="eastAsia" w:ascii="仿宋_GB2312" w:hAnsi="Calibri" w:eastAsia="仿宋_GB2312" w:cs="仿宋_GB2312"/>
          <w:kern w:val="0"/>
          <w:sz w:val="32"/>
          <w:szCs w:val="32"/>
          <w:shd w:val="clear" w:fill="FFFFFF"/>
          <w:lang w:val="en-US" w:eastAsia="zh-CN" w:bidi="ar"/>
        </w:rPr>
        <w:t>健康</w:t>
      </w:r>
      <w:r>
        <w:rPr>
          <w:rFonts w:hint="eastAsia" w:ascii="仿宋_GB2312" w:hAnsi="仿宋_GB2312" w:eastAsia="仿宋_GB2312" w:cs="仿宋_GB2312"/>
          <w:kern w:val="0"/>
          <w:sz w:val="32"/>
          <w:szCs w:val="32"/>
          <w:shd w:val="clear" w:fill="FFFFFF"/>
          <w:lang w:val="en-US" w:eastAsia="zh-CN" w:bidi="ar"/>
        </w:rPr>
        <w:t>投入责任，完善合理分担机制，缓解个人就医经济负担。明确政府在提供公共卫生和基本医疗服务中的主导地位，加大政府卫生投入，保障人民群众的基本医疗卫生服务需求。鼓励和引导社会力量加大对卫生健康事业的投入，形成投资主体多元化、投资方式多样化的办医体制。</w:t>
      </w:r>
      <w:r>
        <w:rPr>
          <w:rFonts w:hint="eastAsia" w:ascii="仿宋_GB2312" w:hAnsi="Calibri" w:eastAsia="仿宋_GB2312" w:cs="仿宋_GB2312"/>
          <w:kern w:val="0"/>
          <w:sz w:val="32"/>
          <w:szCs w:val="32"/>
          <w:shd w:val="clear" w:fill="FFFFFF"/>
          <w:lang w:val="en-US" w:eastAsia="zh-CN" w:bidi="ar"/>
        </w:rPr>
        <w:t>通过申请地方政府债券、旧改等方式，保障重点项目建设资金。</w:t>
      </w:r>
    </w:p>
    <w:p w14:paraId="36077BD8">
      <w:pPr>
        <w:keepNext w:val="0"/>
        <w:keepLines w:val="0"/>
        <w:pageBreakBefore w:val="0"/>
        <w:widowControl/>
        <w:suppressLineNumbers w:val="0"/>
        <w:shd w:val="clear" w:fill="FFFFFF"/>
        <w:kinsoku/>
        <w:wordWrap/>
        <w:overflowPunct/>
        <w:topLinePunct w:val="0"/>
        <w:bidi w:val="0"/>
        <w:spacing w:before="0" w:beforeAutospacing="0" w:after="0" w:afterAutospacing="0" w:line="560" w:lineRule="exact"/>
        <w:ind w:left="0" w:right="0" w:firstLine="480"/>
        <w:jc w:val="both"/>
        <w:rPr>
          <w:rFonts w:hint="default" w:ascii="Times New Roman" w:hAnsi="仿宋_GB2312" w:eastAsia="仿宋_GB2312" w:cs="Times New Roman"/>
          <w:kern w:val="0"/>
          <w:sz w:val="32"/>
          <w:szCs w:val="32"/>
          <w:shd w:val="clear" w:fill="FFFFFF"/>
        </w:rPr>
      </w:pPr>
      <w:r>
        <w:rPr>
          <w:rFonts w:hint="eastAsia" w:ascii="楷体" w:hAnsi="楷体" w:eastAsia="楷体" w:cs="楷体"/>
          <w:kern w:val="0"/>
          <w:sz w:val="32"/>
          <w:szCs w:val="32"/>
          <w:shd w:val="clear" w:fill="FFFFFF"/>
          <w:lang w:val="en-US" w:eastAsia="zh-CN" w:bidi="ar"/>
        </w:rPr>
        <w:t>（三）强化宣传引导。</w:t>
      </w:r>
      <w:r>
        <w:rPr>
          <w:rFonts w:hint="eastAsia" w:ascii="仿宋_GB2312" w:hAnsi="仿宋_GB2312" w:eastAsia="仿宋_GB2312" w:cs="仿宋_GB2312"/>
          <w:kern w:val="0"/>
          <w:sz w:val="32"/>
          <w:szCs w:val="32"/>
          <w:shd w:val="clear" w:fill="FFFFFF"/>
          <w:lang w:val="en-US" w:eastAsia="zh-CN" w:bidi="ar"/>
        </w:rPr>
        <w:t>加强正面宣传和典型宣传，增强社会对卫生健康工作的普遍认知，争取各方面的有力支持，保障规划的有效实施。加强社会宣传工作，通过电视、广播、报纸和网络等媒体广泛宣传卫生健康工作相关法律法规和面临的形势与挑战，提高社会各界重视程度。加强卫生健康普法宣传。大力弘扬和践行卫生健康职业精神，深入开展职业精神宣传推介专题活动。完善新闻发布制度和网上舆论工作体系，及时回应网上舆情和社会关切，加强网络舆论引导队伍建设，提升新闻宣传与舆论引导能力。</w:t>
      </w:r>
    </w:p>
    <w:p w14:paraId="1243B64B">
      <w:pPr>
        <w:pStyle w:val="11"/>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firstLine="640" w:firstLineChars="200"/>
        <w:jc w:val="both"/>
      </w:pPr>
      <w:r>
        <w:rPr>
          <w:rFonts w:hint="eastAsia" w:ascii="仿宋_GB2312" w:hAnsi="Calibri" w:eastAsia="仿宋_GB2312" w:cs="仿宋_GB2312"/>
          <w:kern w:val="0"/>
          <w:sz w:val="32"/>
          <w:szCs w:val="32"/>
          <w:lang w:val="en-US" w:eastAsia="zh-CN" w:bidi="ar"/>
        </w:rPr>
        <w:t>（四）</w:t>
      </w:r>
      <w:r>
        <w:rPr>
          <w:rFonts w:hint="eastAsia" w:ascii="楷体" w:hAnsi="楷体" w:eastAsia="楷体" w:cs="楷体"/>
          <w:kern w:val="0"/>
          <w:sz w:val="32"/>
          <w:szCs w:val="32"/>
          <w:lang w:val="en-US" w:eastAsia="zh-CN" w:bidi="ar"/>
        </w:rPr>
        <w:t>加强监测评价。</w:t>
      </w:r>
      <w:r>
        <w:rPr>
          <w:rFonts w:hint="eastAsia" w:ascii="仿宋_GB2312" w:hAnsi="Calibri" w:eastAsia="仿宋_GB2312" w:cs="仿宋_GB2312"/>
          <w:kern w:val="2"/>
          <w:sz w:val="32"/>
          <w:szCs w:val="32"/>
          <w:shd w:val="clear" w:fill="FFFFFF"/>
          <w:lang w:val="en-US" w:eastAsia="zh-CN" w:bidi="ar"/>
        </w:rPr>
        <w:t>建立健全监测评价机制，在规划实施中期、末期开展规划实施评估工作，监督重大项目的执行情况，及时发现实施中存在的问题，并研究解决对策，适时对目标任务进行必要调整，确保规划顺利实现。</w:t>
      </w:r>
    </w:p>
    <w:p w14:paraId="5C255C9D">
      <w:pPr>
        <w:ind w:firstLine="640" w:firstLineChars="200"/>
        <w:rPr>
          <w:rFonts w:hint="eastAsia" w:ascii="仿宋_GB2312" w:eastAsia="仿宋_GB2312" w:cs="仿宋_GB2312"/>
          <w:kern w:val="0"/>
          <w:sz w:val="32"/>
          <w:szCs w:val="32"/>
        </w:rPr>
        <w:sectPr>
          <w:headerReference r:id="rId3" w:type="default"/>
          <w:footerReference r:id="rId4" w:type="default"/>
          <w:pgSz w:w="12242" w:h="15842" w:orient="landscape"/>
          <w:pgMar w:top="1587" w:right="2098" w:bottom="1474" w:left="1984" w:header="851" w:footer="992" w:gutter="0"/>
          <w:cols w:space="0" w:num="1"/>
          <w:rtlGutter w:val="0"/>
          <w:docGrid w:type="lines" w:linePitch="456" w:charSpace="0"/>
        </w:sectPr>
      </w:pPr>
    </w:p>
    <w:p w14:paraId="17ADC76F">
      <w:pPr>
        <w:pStyle w:val="11"/>
        <w:widowControl/>
        <w:shd w:val="clear" w:color="auto" w:fill="FFFFFF"/>
        <w:adjustRightInd w:val="0"/>
        <w:snapToGrid w:val="0"/>
        <w:spacing w:before="0" w:beforeAutospacing="0" w:after="0" w:afterAutospacing="0"/>
        <w:ind w:left="96" w:right="96"/>
        <w:jc w:val="center"/>
        <w:rPr>
          <w:rFonts w:hint="eastAsia" w:ascii="方正小标宋简体" w:eastAsia="方正小标宋简体"/>
          <w:color w:val="auto"/>
          <w:sz w:val="44"/>
          <w:szCs w:val="44"/>
        </w:rPr>
      </w:pPr>
      <w:r>
        <w:rPr>
          <w:rFonts w:hint="eastAsia" w:ascii="方正小标宋简体" w:eastAsia="方正小标宋简体"/>
          <w:b/>
          <w:color w:val="auto"/>
          <w:sz w:val="44"/>
          <w:szCs w:val="44"/>
        </w:rPr>
        <w:t xml:space="preserve">2021-2025 </w:t>
      </w:r>
      <w:r>
        <w:rPr>
          <w:rFonts w:hint="eastAsia" w:ascii="方正小标宋简体" w:eastAsia="方正小标宋简体"/>
          <w:color w:val="auto"/>
          <w:sz w:val="44"/>
          <w:szCs w:val="44"/>
        </w:rPr>
        <w:t>年花都区医疗卫生机构建设规划</w:t>
      </w:r>
    </w:p>
    <w:tbl>
      <w:tblPr>
        <w:tblStyle w:val="12"/>
        <w:tblpPr w:leftFromText="180" w:rightFromText="180" w:vertAnchor="text" w:horzAnchor="margin" w:tblpX="-620" w:tblpY="1175"/>
        <w:tblOverlap w:val="never"/>
        <w:tblW w:w="15158" w:type="dxa"/>
        <w:tblInd w:w="0" w:type="dxa"/>
        <w:tblLayout w:type="fixed"/>
        <w:tblCellMar>
          <w:top w:w="15" w:type="dxa"/>
          <w:left w:w="15" w:type="dxa"/>
          <w:bottom w:w="15" w:type="dxa"/>
          <w:right w:w="15" w:type="dxa"/>
        </w:tblCellMar>
      </w:tblPr>
      <w:tblGrid>
        <w:gridCol w:w="470"/>
        <w:gridCol w:w="1093"/>
        <w:gridCol w:w="2181"/>
        <w:gridCol w:w="11414"/>
      </w:tblGrid>
      <w:tr w14:paraId="4EADCE13">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60778C9">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编号</w:t>
            </w:r>
          </w:p>
        </w:tc>
        <w:tc>
          <w:tcPr>
            <w:tcW w:w="109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2AC213E">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机构</w:t>
            </w:r>
          </w:p>
          <w:p w14:paraId="5C65D5EF">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类别</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730E3AF">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建设项目</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126DE93">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 xml:space="preserve"> 建设内容与规模</w:t>
            </w:r>
          </w:p>
        </w:tc>
      </w:tr>
      <w:tr w14:paraId="7947911E">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6AC3AF0">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1</w:t>
            </w:r>
          </w:p>
        </w:tc>
        <w:tc>
          <w:tcPr>
            <w:tcW w:w="109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183ED02">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综合医院</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2563740">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中山大学附属仁济医院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A79F357">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续建中山大学附属仁济医院，选址于花都区镜湖大道北与雅瑶东路交界处。建筑面积约170000平方米，规划床位1000张，预计202</w:t>
            </w:r>
            <w:r>
              <w:rPr>
                <w:rFonts w:hint="eastAsia" w:ascii="仿宋_GB2312" w:hAnsi="仿宋_GB2312" w:eastAsia="仿宋_GB2312" w:cs="仿宋_GB2312"/>
                <w:color w:val="auto"/>
                <w:kern w:val="0"/>
                <w:sz w:val="21"/>
                <w:szCs w:val="21"/>
                <w:lang w:val="en-US" w:eastAsia="zh-CN" w:bidi="ar"/>
              </w:rPr>
              <w:t>3</w:t>
            </w:r>
            <w:r>
              <w:rPr>
                <w:rFonts w:hint="eastAsia" w:ascii="仿宋_GB2312" w:hAnsi="仿宋_GB2312" w:eastAsia="仿宋_GB2312" w:cs="仿宋_GB2312"/>
                <w:color w:val="auto"/>
                <w:kern w:val="0"/>
                <w:sz w:val="21"/>
                <w:szCs w:val="21"/>
                <w:lang w:bidi="ar"/>
              </w:rPr>
              <w:t>年投入使用。</w:t>
            </w:r>
          </w:p>
        </w:tc>
      </w:tr>
      <w:tr w14:paraId="453913BB">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656632F">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3E3FEC4">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D88CACC">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区人民医院新院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3634847">
            <w:pPr>
              <w:keepNext w:val="0"/>
              <w:keepLines w:val="0"/>
              <w:widowControl/>
              <w:suppressLineNumbers w:val="0"/>
              <w:adjustRightInd w:val="0"/>
              <w:snapToGrid w:val="0"/>
              <w:spacing w:before="0" w:beforeAutospacing="0" w:after="0" w:afterAutospacing="0"/>
              <w:ind w:left="0" w:right="0"/>
              <w:textAlignment w:val="center"/>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迁建花都区人民医院，选址花都区花城街平步大道以南、曙光路以西区域，总用地面积约为142934平方米。按三级甲等综合医院标准建设，建筑面积229988平方米，规划床位1500张。设立区公共卫生救治中心。</w:t>
            </w:r>
          </w:p>
        </w:tc>
      </w:tr>
      <w:tr w14:paraId="1D6E1F92">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603AC22">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3</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512177D">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5BE029E">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区第二人民医院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6B2E645">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异地新建区第二人民医院，拟选址于花都区金狮大道东以北和南航大道以东交叉口－狮岭镇金狮大道益群村地块，总用地面积约70 亩，净用地约39亩。规划床位500张。</w:t>
            </w:r>
          </w:p>
        </w:tc>
      </w:tr>
      <w:tr w14:paraId="5E79004C">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E98C6DC">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4</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678E335">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8965626">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市中西医结合医院汽车城分院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3BDF367">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新建市中西医结合医院汽车城分院，拟选址于风神大道以南、岭东路以西、花港大道以西，总用地面积约70亩。拟参照三级综合医院标准建设，总建筑面积约6万平方米，规划床位500张。</w:t>
            </w:r>
          </w:p>
        </w:tc>
      </w:tr>
      <w:tr w14:paraId="08C14252">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6585A69">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5</w:t>
            </w:r>
          </w:p>
        </w:tc>
        <w:tc>
          <w:tcPr>
            <w:tcW w:w="109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15C71944">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专科</w:t>
            </w:r>
          </w:p>
          <w:p w14:paraId="31CEB6B5">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医院</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C5F5CAE">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广州市妇女儿童医疗中心花都院区</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786000D">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新建广州市妇女儿童医疗中心花都院区，</w:t>
            </w:r>
            <w:r>
              <w:rPr>
                <w:rFonts w:hint="default" w:ascii="仿宋_GB2312" w:hAnsi="仿宋_GB2312" w:eastAsia="仿宋_GB2312" w:cs="仿宋_GB2312"/>
                <w:color w:val="auto"/>
                <w:kern w:val="0"/>
                <w:sz w:val="21"/>
                <w:szCs w:val="21"/>
                <w:lang w:bidi="ar"/>
              </w:rPr>
              <w:t>选址于</w:t>
            </w:r>
            <w:r>
              <w:rPr>
                <w:rFonts w:hint="eastAsia" w:ascii="仿宋_GB2312" w:hAnsi="仿宋_GB2312" w:eastAsia="仿宋_GB2312" w:cs="仿宋_GB2312"/>
                <w:color w:val="auto"/>
                <w:kern w:val="0"/>
                <w:sz w:val="21"/>
                <w:szCs w:val="21"/>
                <w:lang w:bidi="ar"/>
              </w:rPr>
              <w:t>花都区公益路以西、玫瑰路以东、平石路以南</w:t>
            </w:r>
            <w:r>
              <w:rPr>
                <w:rFonts w:hint="default" w:ascii="仿宋_GB2312" w:hAnsi="仿宋_GB2312" w:eastAsia="仿宋_GB2312" w:cs="仿宋_GB2312"/>
                <w:color w:val="auto"/>
                <w:kern w:val="0"/>
                <w:sz w:val="21"/>
                <w:szCs w:val="21"/>
                <w:lang w:bidi="ar"/>
              </w:rPr>
              <w:t>，总</w:t>
            </w:r>
            <w:r>
              <w:rPr>
                <w:rFonts w:hint="eastAsia" w:ascii="仿宋_GB2312" w:hAnsi="仿宋_GB2312" w:eastAsia="仿宋_GB2312" w:cs="仿宋_GB2312"/>
                <w:color w:val="auto"/>
                <w:kern w:val="0"/>
                <w:sz w:val="21"/>
                <w:szCs w:val="21"/>
                <w:lang w:bidi="ar"/>
              </w:rPr>
              <w:t>用地</w:t>
            </w:r>
            <w:r>
              <w:rPr>
                <w:rFonts w:hint="default" w:ascii="仿宋_GB2312" w:hAnsi="仿宋_GB2312" w:eastAsia="仿宋_GB2312" w:cs="仿宋_GB2312"/>
                <w:color w:val="auto"/>
                <w:kern w:val="0"/>
                <w:sz w:val="21"/>
                <w:szCs w:val="21"/>
                <w:lang w:bidi="ar"/>
              </w:rPr>
              <w:t>面积约</w:t>
            </w:r>
            <w:r>
              <w:rPr>
                <w:rFonts w:hint="eastAsia" w:ascii="仿宋_GB2312" w:hAnsi="仿宋_GB2312" w:eastAsia="仿宋_GB2312" w:cs="仿宋_GB2312"/>
                <w:color w:val="auto"/>
                <w:kern w:val="0"/>
                <w:sz w:val="21"/>
                <w:szCs w:val="21"/>
                <w:lang w:bidi="ar"/>
              </w:rPr>
              <w:t>55.8</w:t>
            </w:r>
            <w:r>
              <w:rPr>
                <w:rFonts w:hint="default" w:ascii="仿宋_GB2312" w:hAnsi="仿宋_GB2312" w:eastAsia="仿宋_GB2312" w:cs="仿宋_GB2312"/>
                <w:color w:val="auto"/>
                <w:kern w:val="0"/>
                <w:sz w:val="21"/>
                <w:szCs w:val="21"/>
                <w:lang w:bidi="ar"/>
              </w:rPr>
              <w:t>亩，</w:t>
            </w:r>
            <w:r>
              <w:rPr>
                <w:rFonts w:hint="eastAsia" w:ascii="仿宋_GB2312" w:hAnsi="仿宋_GB2312" w:eastAsia="仿宋_GB2312" w:cs="仿宋_GB2312"/>
                <w:color w:val="auto"/>
                <w:kern w:val="0"/>
                <w:sz w:val="21"/>
                <w:szCs w:val="21"/>
                <w:lang w:bidi="ar"/>
              </w:rPr>
              <w:t>可</w:t>
            </w:r>
            <w:r>
              <w:rPr>
                <w:rFonts w:hint="default" w:ascii="仿宋_GB2312" w:hAnsi="仿宋_GB2312" w:eastAsia="仿宋_GB2312" w:cs="仿宋_GB2312"/>
                <w:color w:val="auto"/>
                <w:kern w:val="0"/>
                <w:sz w:val="21"/>
                <w:szCs w:val="21"/>
                <w:lang w:bidi="ar"/>
              </w:rPr>
              <w:t>建设用地面积5</w:t>
            </w:r>
            <w:r>
              <w:rPr>
                <w:rFonts w:hint="eastAsia" w:ascii="仿宋_GB2312" w:hAnsi="仿宋_GB2312" w:eastAsia="仿宋_GB2312" w:cs="仿宋_GB2312"/>
                <w:color w:val="auto"/>
                <w:kern w:val="0"/>
                <w:sz w:val="21"/>
                <w:szCs w:val="21"/>
                <w:lang w:bidi="ar"/>
              </w:rPr>
              <w:t>1</w:t>
            </w:r>
            <w:r>
              <w:rPr>
                <w:rFonts w:hint="default" w:ascii="仿宋_GB2312" w:hAnsi="仿宋_GB2312" w:eastAsia="仿宋_GB2312" w:cs="仿宋_GB2312"/>
                <w:color w:val="auto"/>
                <w:kern w:val="0"/>
                <w:sz w:val="21"/>
                <w:szCs w:val="21"/>
                <w:lang w:bidi="ar"/>
              </w:rPr>
              <w:t>亩</w:t>
            </w:r>
            <w:r>
              <w:rPr>
                <w:rFonts w:hint="eastAsia" w:ascii="仿宋_GB2312" w:hAnsi="仿宋_GB2312" w:eastAsia="仿宋_GB2312" w:cs="仿宋_GB2312"/>
                <w:color w:val="auto"/>
                <w:kern w:val="0"/>
                <w:sz w:val="21"/>
                <w:szCs w:val="21"/>
                <w:lang w:bidi="ar"/>
              </w:rPr>
              <w:t>。</w:t>
            </w:r>
            <w:r>
              <w:rPr>
                <w:rFonts w:hint="default" w:ascii="仿宋_GB2312" w:hAnsi="仿宋_GB2312" w:eastAsia="仿宋_GB2312" w:cs="仿宋_GB2312"/>
                <w:color w:val="auto"/>
                <w:kern w:val="0"/>
                <w:sz w:val="21"/>
                <w:szCs w:val="21"/>
                <w:lang w:bidi="ar"/>
              </w:rPr>
              <w:t>按三级医院标准建设，建筑面积</w:t>
            </w:r>
            <w:r>
              <w:rPr>
                <w:rFonts w:hint="eastAsia" w:ascii="仿宋_GB2312" w:hAnsi="仿宋_GB2312" w:eastAsia="仿宋_GB2312" w:cs="仿宋_GB2312"/>
                <w:color w:val="auto"/>
                <w:kern w:val="0"/>
                <w:sz w:val="21"/>
                <w:szCs w:val="21"/>
                <w:lang w:val="en-US" w:eastAsia="zh-CN" w:bidi="ar"/>
              </w:rPr>
              <w:t>167280</w:t>
            </w:r>
            <w:r>
              <w:rPr>
                <w:rFonts w:hint="default" w:ascii="仿宋_GB2312" w:hAnsi="仿宋_GB2312" w:eastAsia="仿宋_GB2312" w:cs="仿宋_GB2312"/>
                <w:color w:val="auto"/>
                <w:kern w:val="0"/>
                <w:sz w:val="21"/>
                <w:szCs w:val="21"/>
                <w:lang w:bidi="ar"/>
              </w:rPr>
              <w:t>平方米</w:t>
            </w:r>
            <w:r>
              <w:rPr>
                <w:rFonts w:hint="eastAsia" w:ascii="仿宋_GB2312" w:hAnsi="仿宋_GB2312" w:eastAsia="仿宋_GB2312" w:cs="仿宋_GB2312"/>
                <w:color w:val="auto"/>
                <w:kern w:val="0"/>
                <w:sz w:val="21"/>
                <w:szCs w:val="21"/>
                <w:lang w:bidi="ar"/>
              </w:rPr>
              <w:t>，规划</w:t>
            </w:r>
            <w:r>
              <w:rPr>
                <w:rFonts w:hint="default" w:ascii="仿宋_GB2312" w:hAnsi="仿宋_GB2312" w:eastAsia="仿宋_GB2312" w:cs="仿宋_GB2312"/>
                <w:color w:val="auto"/>
                <w:kern w:val="0"/>
                <w:sz w:val="21"/>
                <w:szCs w:val="21"/>
                <w:lang w:bidi="ar"/>
              </w:rPr>
              <w:t>床位800张</w:t>
            </w:r>
            <w:r>
              <w:rPr>
                <w:rFonts w:hint="eastAsia" w:ascii="仿宋_GB2312" w:hAnsi="仿宋_GB2312" w:eastAsia="仿宋_GB2312" w:cs="仿宋_GB2312"/>
                <w:color w:val="auto"/>
                <w:kern w:val="0"/>
                <w:sz w:val="21"/>
                <w:szCs w:val="21"/>
                <w:lang w:bidi="ar"/>
              </w:rPr>
              <w:t>。</w:t>
            </w:r>
          </w:p>
        </w:tc>
      </w:tr>
      <w:tr w14:paraId="4800D4FA">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4CBC1AC">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6</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1706C8D4">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CADD0A7">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广东省中医临床研究院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41C9F79">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选址</w:t>
            </w:r>
            <w:r>
              <w:rPr>
                <w:rFonts w:hint="eastAsia" w:eastAsia="仿宋_GB2312" w:cs="仿宋_GB2312"/>
                <w:color w:val="auto"/>
                <w:kern w:val="0"/>
                <w:sz w:val="21"/>
                <w:szCs w:val="21"/>
                <w:lang w:eastAsia="zh-CN" w:bidi="ar"/>
              </w:rPr>
              <w:t>花山镇平山村</w:t>
            </w:r>
            <w:r>
              <w:rPr>
                <w:rFonts w:hint="eastAsia" w:ascii="仿宋_GB2312" w:hAnsi="仿宋_GB2312" w:eastAsia="仿宋_GB2312" w:cs="仿宋_GB2312"/>
                <w:color w:val="auto"/>
                <w:kern w:val="0"/>
                <w:sz w:val="21"/>
                <w:szCs w:val="21"/>
                <w:lang w:bidi="ar"/>
              </w:rPr>
              <w:t>。业务用房建筑面积约</w:t>
            </w:r>
            <w:r>
              <w:rPr>
                <w:rFonts w:hint="eastAsia" w:eastAsia="仿宋_GB2312" w:cs="仿宋_GB2312"/>
                <w:color w:val="auto"/>
                <w:kern w:val="0"/>
                <w:sz w:val="21"/>
                <w:szCs w:val="21"/>
                <w:lang w:val="en-US" w:eastAsia="zh-CN" w:bidi="ar"/>
              </w:rPr>
              <w:t>20万</w:t>
            </w:r>
            <w:r>
              <w:rPr>
                <w:rFonts w:hint="eastAsia" w:ascii="仿宋_GB2312" w:hAnsi="仿宋_GB2312" w:eastAsia="仿宋_GB2312" w:cs="仿宋_GB2312"/>
                <w:color w:val="auto"/>
                <w:kern w:val="0"/>
                <w:sz w:val="21"/>
                <w:szCs w:val="21"/>
                <w:lang w:bidi="ar"/>
              </w:rPr>
              <w:t>平方米，建设内容包括广东省中医临床研究院花都院区、广州中医药大学第一附属医院花都医院在内的医疗、教学与科研平台。其中，医院按照三甲中医医院配置。</w:t>
            </w:r>
          </w:p>
        </w:tc>
      </w:tr>
      <w:tr w14:paraId="4E7669B0">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495E41F">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val="en-US" w:eastAsia="zh-CN" w:bidi="ar"/>
              </w:rPr>
              <w:t>7</w:t>
            </w:r>
          </w:p>
        </w:tc>
        <w:tc>
          <w:tcPr>
            <w:tcW w:w="109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E348835">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1F909264">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eastAsia="zh-CN" w:bidi="ar"/>
              </w:rPr>
              <w:t>区</w:t>
            </w:r>
            <w:r>
              <w:rPr>
                <w:rFonts w:hint="eastAsia" w:ascii="仿宋_GB2312" w:hAnsi="仿宋_GB2312" w:eastAsia="仿宋_GB2312" w:cs="仿宋_GB2312"/>
                <w:color w:val="auto"/>
                <w:kern w:val="0"/>
                <w:sz w:val="21"/>
                <w:szCs w:val="21"/>
                <w:lang w:bidi="ar"/>
              </w:rPr>
              <w:t>脑科康复医院</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7434AC1">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新建精神病专科医院，拟选址梯面卫生院东南侧。业务用房建筑面积约35000平方米，规划床位300张。</w:t>
            </w:r>
          </w:p>
        </w:tc>
      </w:tr>
      <w:tr w14:paraId="6535D9D1">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26C7263">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val="en-US" w:eastAsia="zh-CN" w:bidi="ar"/>
              </w:rPr>
              <w:t>8</w:t>
            </w:r>
          </w:p>
        </w:tc>
        <w:tc>
          <w:tcPr>
            <w:tcW w:w="1093"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14:paraId="62A7EC48">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乡镇卫生院及社区卫生服务中心</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4A27F96">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秀全北社区卫生服务中心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E2C5354">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eastAsia="zh-CN" w:bidi="ar"/>
              </w:rPr>
              <w:t>新</w:t>
            </w:r>
            <w:r>
              <w:rPr>
                <w:rFonts w:hint="eastAsia" w:ascii="仿宋_GB2312" w:hAnsi="仿宋_GB2312" w:eastAsia="仿宋_GB2312" w:cs="仿宋_GB2312"/>
                <w:color w:val="auto"/>
                <w:kern w:val="0"/>
                <w:sz w:val="21"/>
                <w:szCs w:val="21"/>
                <w:lang w:bidi="ar"/>
              </w:rPr>
              <w:t>建秀全北社区卫生服务中心，利用秀全街学府路6号尚品雅居公配用房建设社区卫生服务中心，建筑面积</w:t>
            </w:r>
            <w:r>
              <w:rPr>
                <w:rFonts w:hint="eastAsia" w:ascii="仿宋_GB2312" w:hAnsi="仿宋_GB2312" w:eastAsia="仿宋_GB2312" w:cs="仿宋_GB2312"/>
                <w:color w:val="auto"/>
                <w:kern w:val="0"/>
                <w:sz w:val="21"/>
                <w:szCs w:val="21"/>
                <w:lang w:val="en-US" w:eastAsia="zh-CN" w:bidi="ar"/>
              </w:rPr>
              <w:t>75</w:t>
            </w:r>
            <w:r>
              <w:rPr>
                <w:rFonts w:hint="eastAsia" w:ascii="仿宋_GB2312" w:hAnsi="仿宋_GB2312" w:eastAsia="仿宋_GB2312" w:cs="仿宋_GB2312"/>
                <w:color w:val="auto"/>
                <w:kern w:val="0"/>
                <w:sz w:val="21"/>
                <w:szCs w:val="21"/>
                <w:lang w:bidi="ar"/>
              </w:rPr>
              <w:t>00平方米。</w:t>
            </w:r>
          </w:p>
        </w:tc>
      </w:tr>
      <w:tr w14:paraId="7DD4F553">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9AE1FC6">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val="en-US" w:eastAsia="zh-CN" w:bidi="ar"/>
              </w:rPr>
              <w:t>9</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2D8BA95C">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BED98CD">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花城街社区卫生服务中心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4BA3726">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eastAsia="zh-CN" w:bidi="ar"/>
              </w:rPr>
              <w:t>新</w:t>
            </w:r>
            <w:r>
              <w:rPr>
                <w:rFonts w:hint="eastAsia" w:ascii="仿宋_GB2312" w:hAnsi="仿宋_GB2312" w:eastAsia="仿宋_GB2312" w:cs="仿宋_GB2312"/>
                <w:color w:val="auto"/>
                <w:kern w:val="0"/>
                <w:sz w:val="21"/>
                <w:szCs w:val="21"/>
                <w:lang w:bidi="ar"/>
              </w:rPr>
              <w:t>建花城街社区卫生服务中心，利用杜鹃三街融创文旅城公建配套建设社区卫生服务中心，建筑面积3000平方米。</w:t>
            </w:r>
          </w:p>
        </w:tc>
      </w:tr>
      <w:tr w14:paraId="6922F81C">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A24193E">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kern w:val="0"/>
                <w:sz w:val="21"/>
                <w:szCs w:val="21"/>
                <w:lang w:val="en-US" w:eastAsia="zh-CN" w:bidi="ar"/>
              </w:rPr>
              <w:t>10</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0EAC3B14">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090E252">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宝华路社区卫生服务中心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1C00FA57">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新建宝华路社区卫生服务中心，利用新华街宝华路与茶园路交界地产开发项目公建配套建设社区卫生服务中心，建筑面积30</w:t>
            </w:r>
            <w:r>
              <w:rPr>
                <w:rFonts w:hint="eastAsia" w:ascii="仿宋_GB2312" w:hAnsi="仿宋_GB2312" w:eastAsia="仿宋_GB2312" w:cs="仿宋_GB2312"/>
                <w:color w:val="auto"/>
                <w:kern w:val="0"/>
                <w:sz w:val="21"/>
                <w:szCs w:val="21"/>
                <w:lang w:val="en-US" w:eastAsia="zh-CN" w:bidi="ar"/>
              </w:rPr>
              <w:t>65</w:t>
            </w:r>
            <w:r>
              <w:rPr>
                <w:rFonts w:hint="eastAsia" w:ascii="仿宋_GB2312" w:hAnsi="仿宋_GB2312" w:eastAsia="仿宋_GB2312" w:cs="仿宋_GB2312"/>
                <w:color w:val="auto"/>
                <w:kern w:val="0"/>
                <w:sz w:val="21"/>
                <w:szCs w:val="21"/>
                <w:lang w:bidi="ar"/>
              </w:rPr>
              <w:t>平方米。</w:t>
            </w:r>
          </w:p>
        </w:tc>
      </w:tr>
      <w:tr w14:paraId="1D62B450">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07DEBBD">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11</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05052C1A">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234A276">
            <w:pPr>
              <w:keepNext w:val="0"/>
              <w:keepLines w:val="0"/>
              <w:widowControl/>
              <w:suppressLineNumbers w:val="0"/>
              <w:adjustRightInd w:val="0"/>
              <w:snapToGrid w:val="0"/>
              <w:spacing w:before="0" w:beforeAutospacing="0" w:after="0" w:afterAutospacing="0"/>
              <w:ind w:left="0" w:leftChars="0" w:right="0" w:rightChars="0"/>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秀全社区卫生服务中心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067EF24">
            <w:pPr>
              <w:keepNext w:val="0"/>
              <w:keepLines w:val="0"/>
              <w:widowControl/>
              <w:suppressLineNumbers w:val="0"/>
              <w:spacing w:before="0" w:beforeAutospacing="0" w:after="0" w:afterAutospacing="0"/>
              <w:ind w:left="0" w:leftChars="0" w:right="0" w:rightChars="0"/>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扩建秀全社区卫生服务中心，利用位于岭东路保利水晶花园公建配套扩建秀全社区卫生服务中心，</w:t>
            </w:r>
            <w:r>
              <w:rPr>
                <w:rFonts w:hint="eastAsia" w:ascii="仿宋_GB2312" w:hAnsi="仿宋_GB2312" w:eastAsia="仿宋_GB2312" w:cs="仿宋_GB2312"/>
                <w:color w:val="auto"/>
                <w:kern w:val="0"/>
                <w:sz w:val="21"/>
                <w:szCs w:val="21"/>
                <w:lang w:val="en-US" w:eastAsia="zh-CN" w:bidi="ar"/>
              </w:rPr>
              <w:t>建筑面积2027 平方米</w:t>
            </w:r>
            <w:r>
              <w:rPr>
                <w:rFonts w:hint="eastAsia" w:ascii="仿宋_GB2312" w:hAnsi="仿宋_GB2312" w:eastAsia="仿宋_GB2312" w:cs="仿宋_GB2312"/>
                <w:color w:val="auto"/>
                <w:kern w:val="0"/>
                <w:sz w:val="21"/>
                <w:szCs w:val="21"/>
                <w:lang w:bidi="ar"/>
              </w:rPr>
              <w:t>。</w:t>
            </w:r>
          </w:p>
        </w:tc>
      </w:tr>
      <w:tr w14:paraId="2A3504E4">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B5DC945">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bidi="ar"/>
              </w:rPr>
              <w:t>1</w:t>
            </w:r>
            <w:r>
              <w:rPr>
                <w:rFonts w:hint="eastAsia" w:ascii="仿宋_GB2312" w:hAnsi="仿宋_GB2312" w:eastAsia="仿宋_GB2312" w:cs="仿宋_GB2312"/>
                <w:color w:val="auto"/>
                <w:kern w:val="0"/>
                <w:sz w:val="21"/>
                <w:szCs w:val="21"/>
                <w:lang w:val="en-US" w:eastAsia="zh-CN" w:bidi="ar"/>
              </w:rPr>
              <w:t>2</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2F653D4C">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19C17A4">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都湖国际公建配套医疗卫生用房</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12E8953">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eastAsia="zh-CN" w:bidi="ar"/>
              </w:rPr>
              <w:t>利用都湖国际配建的医疗卫生用房，建筑面积</w:t>
            </w:r>
            <w:r>
              <w:rPr>
                <w:rFonts w:hint="eastAsia" w:ascii="仿宋_GB2312" w:hAnsi="仿宋_GB2312" w:eastAsia="仿宋_GB2312" w:cs="仿宋_GB2312"/>
                <w:color w:val="auto"/>
                <w:kern w:val="0"/>
                <w:sz w:val="21"/>
                <w:szCs w:val="21"/>
                <w:lang w:val="en-US" w:eastAsia="zh-CN" w:bidi="ar"/>
              </w:rPr>
              <w:t>约3241平方米，建设</w:t>
            </w:r>
            <w:r>
              <w:rPr>
                <w:rFonts w:hint="eastAsia" w:ascii="仿宋_GB2312" w:hAnsi="仿宋_GB2312" w:eastAsia="仿宋_GB2312" w:cs="仿宋_GB2312"/>
                <w:color w:val="auto"/>
                <w:kern w:val="0"/>
                <w:sz w:val="21"/>
                <w:szCs w:val="21"/>
                <w:lang w:eastAsia="zh-CN" w:bidi="ar"/>
              </w:rPr>
              <w:t>都湖国际社区卫生服务中心（站）。</w:t>
            </w:r>
          </w:p>
        </w:tc>
      </w:tr>
      <w:tr w14:paraId="48A8E4EE">
        <w:tblPrEx>
          <w:tblCellMar>
            <w:top w:w="15" w:type="dxa"/>
            <w:left w:w="15" w:type="dxa"/>
            <w:bottom w:w="15" w:type="dxa"/>
            <w:right w:w="15" w:type="dxa"/>
          </w:tblCellMar>
        </w:tblPrEx>
        <w:trPr>
          <w:trHeight w:val="485"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18F4956">
            <w:pPr>
              <w:keepNext w:val="0"/>
              <w:keepLines w:val="0"/>
              <w:widowControl/>
              <w:suppressLineNumbers w:val="0"/>
              <w:adjustRightInd w:val="0"/>
              <w:snapToGrid w:val="0"/>
              <w:spacing w:before="0" w:beforeAutospacing="0" w:after="0" w:afterAutospacing="0"/>
              <w:ind w:left="0" w:right="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bidi="ar"/>
              </w:rPr>
              <w:t>1</w:t>
            </w:r>
            <w:r>
              <w:rPr>
                <w:rFonts w:hint="eastAsia" w:ascii="仿宋_GB2312" w:hAnsi="仿宋_GB2312" w:eastAsia="仿宋_GB2312" w:cs="仿宋_GB2312"/>
                <w:color w:val="auto"/>
                <w:kern w:val="0"/>
                <w:sz w:val="21"/>
                <w:szCs w:val="21"/>
                <w:lang w:val="en-US" w:eastAsia="zh-CN" w:bidi="ar"/>
              </w:rPr>
              <w:t>3</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3D2182C5">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424A268">
            <w:pPr>
              <w:keepNext w:val="0"/>
              <w:keepLines w:val="0"/>
              <w:widowControl/>
              <w:suppressLineNumbers w:val="0"/>
              <w:adjustRightInd w:val="0"/>
              <w:snapToGrid w:val="0"/>
              <w:spacing w:before="0" w:beforeAutospacing="0" w:after="0" w:afterAutospacing="0"/>
              <w:ind w:left="0" w:leftChars="0" w:right="0" w:rightChars="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桐悦花园社区卫生服务中心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E1CC563">
            <w:pPr>
              <w:keepNext w:val="0"/>
              <w:keepLines w:val="0"/>
              <w:widowControl/>
              <w:suppressLineNumbers w:val="0"/>
              <w:adjustRightInd w:val="0"/>
              <w:snapToGrid w:val="0"/>
              <w:spacing w:before="0" w:beforeAutospacing="0" w:after="0" w:afterAutospacing="0"/>
              <w:ind w:left="0" w:leftChars="0" w:right="0" w:rightChars="0"/>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新建桐悦花园社区卫生服务中心，利用位于凤凰南路以东，花都湖以南桐悦花园公建配套建设社区卫生服务中心，建筑面积3000平方米。</w:t>
            </w:r>
          </w:p>
        </w:tc>
      </w:tr>
      <w:tr w14:paraId="2A05E273">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C6D6722">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14</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32D5BE36">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91921F0">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eastAsia="zh-CN" w:bidi="ar"/>
              </w:rPr>
              <w:t>平西安置区社区卫生服务中心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9493B33">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eastAsia="zh-CN" w:bidi="ar"/>
              </w:rPr>
              <w:t>利用平西安置区配建的社区卫生中心，建筑面积</w:t>
            </w:r>
            <w:r>
              <w:rPr>
                <w:rFonts w:hint="eastAsia" w:ascii="仿宋_GB2312" w:hAnsi="仿宋_GB2312" w:eastAsia="仿宋_GB2312" w:cs="仿宋_GB2312"/>
                <w:color w:val="auto"/>
                <w:kern w:val="0"/>
                <w:sz w:val="21"/>
                <w:szCs w:val="21"/>
                <w:lang w:val="en-US" w:eastAsia="zh-CN" w:bidi="ar"/>
              </w:rPr>
              <w:t>约6000平方米，建设</w:t>
            </w:r>
            <w:r>
              <w:rPr>
                <w:rFonts w:hint="eastAsia" w:ascii="仿宋_GB2312" w:hAnsi="仿宋_GB2312" w:eastAsia="仿宋_GB2312" w:cs="仿宋_GB2312"/>
                <w:color w:val="auto"/>
                <w:kern w:val="0"/>
                <w:sz w:val="21"/>
                <w:szCs w:val="21"/>
                <w:lang w:eastAsia="zh-CN" w:bidi="ar"/>
              </w:rPr>
              <w:t>平西安置区社区卫生服务中心。</w:t>
            </w:r>
          </w:p>
        </w:tc>
      </w:tr>
      <w:tr w14:paraId="29FDDCD4">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D75BE20">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15</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0AB825AB">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2796213">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富力金港城社区卫生服务中心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CFE1FE9">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eastAsia="zh-CN" w:bidi="ar"/>
              </w:rPr>
              <w:t>利用</w:t>
            </w:r>
            <w:r>
              <w:rPr>
                <w:rFonts w:hint="eastAsia" w:ascii="仿宋_GB2312" w:hAnsi="仿宋_GB2312" w:eastAsia="仿宋_GB2312" w:cs="仿宋_GB2312"/>
                <w:color w:val="auto"/>
                <w:kern w:val="0"/>
                <w:sz w:val="21"/>
                <w:szCs w:val="21"/>
                <w:lang w:val="en-US" w:eastAsia="zh-CN" w:bidi="ar"/>
              </w:rPr>
              <w:t>富力金港城</w:t>
            </w:r>
            <w:r>
              <w:rPr>
                <w:rFonts w:hint="eastAsia" w:ascii="仿宋_GB2312" w:hAnsi="仿宋_GB2312" w:eastAsia="仿宋_GB2312" w:cs="仿宋_GB2312"/>
                <w:color w:val="auto"/>
                <w:kern w:val="0"/>
                <w:sz w:val="21"/>
                <w:szCs w:val="21"/>
                <w:lang w:eastAsia="zh-CN" w:bidi="ar"/>
              </w:rPr>
              <w:t>配建的社区卫生中心，建筑面积</w:t>
            </w:r>
            <w:r>
              <w:rPr>
                <w:rFonts w:hint="eastAsia" w:ascii="仿宋_GB2312" w:hAnsi="仿宋_GB2312" w:eastAsia="仿宋_GB2312" w:cs="仿宋_GB2312"/>
                <w:color w:val="auto"/>
                <w:kern w:val="0"/>
                <w:sz w:val="21"/>
                <w:szCs w:val="21"/>
                <w:lang w:val="en-US" w:eastAsia="zh-CN" w:bidi="ar"/>
              </w:rPr>
              <w:t>2000平方米，建设富力金港城</w:t>
            </w:r>
            <w:r>
              <w:rPr>
                <w:rFonts w:hint="eastAsia" w:ascii="仿宋_GB2312" w:hAnsi="仿宋_GB2312" w:eastAsia="仿宋_GB2312" w:cs="仿宋_GB2312"/>
                <w:color w:val="auto"/>
                <w:kern w:val="0"/>
                <w:sz w:val="21"/>
                <w:szCs w:val="21"/>
                <w:lang w:eastAsia="zh-CN" w:bidi="ar"/>
              </w:rPr>
              <w:t>社区卫生服务中心。</w:t>
            </w:r>
          </w:p>
        </w:tc>
      </w:tr>
      <w:tr w14:paraId="319188DF">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D018A02">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16</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6F66579E">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0B4E3F2">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石塘社区卫生服务中心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FB01E16">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利用</w:t>
            </w:r>
            <w:r>
              <w:rPr>
                <w:rFonts w:hint="eastAsia" w:ascii="仿宋_GB2312" w:hAnsi="仿宋_GB2312" w:eastAsia="仿宋_GB2312" w:cs="仿宋_GB2312"/>
                <w:color w:val="auto"/>
                <w:kern w:val="0"/>
                <w:sz w:val="21"/>
                <w:szCs w:val="21"/>
                <w:lang w:eastAsia="zh-CN" w:bidi="ar"/>
              </w:rPr>
              <w:t>石塘村财富广场配建的社区卫生中心</w:t>
            </w:r>
            <w:r>
              <w:rPr>
                <w:rFonts w:hint="eastAsia" w:ascii="仿宋_GB2312" w:hAnsi="仿宋_GB2312" w:eastAsia="仿宋_GB2312" w:cs="仿宋_GB2312"/>
                <w:color w:val="auto"/>
                <w:kern w:val="0"/>
                <w:sz w:val="21"/>
                <w:szCs w:val="21"/>
                <w:lang w:bidi="ar"/>
              </w:rPr>
              <w:t>，建筑面积</w:t>
            </w:r>
            <w:r>
              <w:rPr>
                <w:rFonts w:hint="eastAsia" w:ascii="仿宋_GB2312" w:hAnsi="仿宋_GB2312" w:eastAsia="仿宋_GB2312" w:cs="仿宋_GB2312"/>
                <w:color w:val="auto"/>
                <w:kern w:val="0"/>
                <w:sz w:val="21"/>
                <w:szCs w:val="21"/>
                <w:lang w:val="en-US" w:eastAsia="zh-CN" w:bidi="ar"/>
              </w:rPr>
              <w:t>3</w:t>
            </w:r>
            <w:r>
              <w:rPr>
                <w:rFonts w:hint="eastAsia" w:ascii="仿宋_GB2312" w:hAnsi="仿宋_GB2312" w:eastAsia="仿宋_GB2312" w:cs="仿宋_GB2312"/>
                <w:color w:val="auto"/>
                <w:kern w:val="0"/>
                <w:sz w:val="21"/>
                <w:szCs w:val="21"/>
                <w:lang w:bidi="ar"/>
              </w:rPr>
              <w:t>000平方米</w:t>
            </w:r>
            <w:r>
              <w:rPr>
                <w:rFonts w:hint="eastAsia" w:ascii="仿宋_GB2312" w:hAnsi="仿宋_GB2312" w:eastAsia="仿宋_GB2312" w:cs="仿宋_GB2312"/>
                <w:color w:val="auto"/>
                <w:kern w:val="0"/>
                <w:sz w:val="21"/>
                <w:szCs w:val="21"/>
                <w:lang w:eastAsia="zh-CN" w:bidi="ar"/>
              </w:rPr>
              <w:t>，建设石塘</w:t>
            </w:r>
            <w:r>
              <w:rPr>
                <w:rFonts w:hint="eastAsia" w:ascii="仿宋_GB2312" w:hAnsi="仿宋_GB2312" w:eastAsia="仿宋_GB2312" w:cs="仿宋_GB2312"/>
                <w:color w:val="auto"/>
                <w:kern w:val="0"/>
                <w:sz w:val="21"/>
                <w:szCs w:val="21"/>
                <w:lang w:bidi="ar"/>
              </w:rPr>
              <w:t>社区卫生服务中心</w:t>
            </w:r>
            <w:r>
              <w:rPr>
                <w:rFonts w:hint="eastAsia" w:ascii="仿宋_GB2312" w:hAnsi="仿宋_GB2312" w:eastAsia="仿宋_GB2312" w:cs="仿宋_GB2312"/>
                <w:color w:val="auto"/>
                <w:kern w:val="0"/>
                <w:sz w:val="21"/>
                <w:szCs w:val="21"/>
                <w:lang w:eastAsia="zh-CN" w:bidi="ar"/>
              </w:rPr>
              <w:t>。</w:t>
            </w:r>
          </w:p>
        </w:tc>
      </w:tr>
      <w:tr w14:paraId="113B4AD2">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2878207">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17</w:t>
            </w:r>
          </w:p>
        </w:tc>
        <w:tc>
          <w:tcPr>
            <w:tcW w:w="1093"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14:paraId="35B4303E">
            <w:pPr>
              <w:keepNext w:val="0"/>
              <w:keepLines w:val="0"/>
              <w:widowControl/>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 w:val="21"/>
                <w:szCs w:val="21"/>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84B6B02">
            <w:pPr>
              <w:keepNext w:val="0"/>
              <w:keepLines w:val="0"/>
              <w:widowControl/>
              <w:suppressLineNumbers w:val="0"/>
              <w:adjustRightInd w:val="0"/>
              <w:snapToGrid w:val="0"/>
              <w:spacing w:before="0" w:beforeAutospacing="0" w:after="0" w:afterAutospacing="0"/>
              <w:ind w:left="0" w:right="0"/>
              <w:textAlignment w:val="center"/>
              <w:rPr>
                <w:rFonts w:hint="default"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基层医疗机构升级改造</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03FAC3E">
            <w:pPr>
              <w:keepNext w:val="0"/>
              <w:keepLines w:val="0"/>
              <w:widowControl/>
              <w:suppressLineNumbers w:val="0"/>
              <w:adjustRightInd w:val="0"/>
              <w:snapToGrid w:val="0"/>
              <w:spacing w:before="0" w:beforeAutospacing="0" w:after="0" w:afterAutospacing="0"/>
              <w:ind w:left="0" w:right="0"/>
              <w:textAlignment w:val="center"/>
              <w:rPr>
                <w:rFonts w:hint="default"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在十三五基层医疗机构升级改造的基础上，完成8家镇卫生院、6家社区卫生服务中心的升级改造。</w:t>
            </w:r>
          </w:p>
        </w:tc>
      </w:tr>
      <w:tr w14:paraId="394C3579">
        <w:tblPrEx>
          <w:tblCellMar>
            <w:top w:w="15" w:type="dxa"/>
            <w:left w:w="15" w:type="dxa"/>
            <w:bottom w:w="15" w:type="dxa"/>
            <w:right w:w="15" w:type="dxa"/>
          </w:tblCellMar>
        </w:tblPrEx>
        <w:trPr>
          <w:trHeight w:val="183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A3D22F8">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kern w:val="0"/>
                <w:sz w:val="21"/>
                <w:szCs w:val="21"/>
                <w:lang w:val="en-US" w:eastAsia="zh-CN" w:bidi="ar"/>
              </w:rPr>
              <w:t>18</w:t>
            </w:r>
          </w:p>
        </w:tc>
        <w:tc>
          <w:tcPr>
            <w:tcW w:w="109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57AEBF7">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bidi="ar"/>
              </w:rPr>
              <w:t>社区卫生服务站</w:t>
            </w:r>
            <w:r>
              <w:rPr>
                <w:rFonts w:hint="eastAsia" w:ascii="仿宋_GB2312" w:hAnsi="仿宋_GB2312" w:eastAsia="仿宋_GB2312" w:cs="仿宋_GB2312"/>
                <w:color w:val="auto"/>
                <w:kern w:val="0"/>
                <w:sz w:val="21"/>
                <w:szCs w:val="21"/>
                <w:lang w:eastAsia="zh-CN" w:bidi="ar"/>
              </w:rPr>
              <w:t>和村卫生站</w:t>
            </w:r>
          </w:p>
        </w:tc>
        <w:tc>
          <w:tcPr>
            <w:tcW w:w="2181" w:type="dxa"/>
            <w:tcBorders>
              <w:top w:val="single" w:color="auto" w:sz="4" w:space="0"/>
              <w:left w:val="single" w:color="auto" w:sz="4" w:space="0"/>
              <w:bottom w:val="single" w:color="auto" w:sz="4" w:space="0"/>
              <w:right w:val="single" w:color="auto" w:sz="4" w:space="0"/>
            </w:tcBorders>
            <w:noWrap w:val="0"/>
            <w:vAlign w:val="center"/>
          </w:tcPr>
          <w:p w14:paraId="756574DD">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sz w:val="21"/>
                <w:szCs w:val="21"/>
              </w:rPr>
            </w:pP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25F9EC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利用公建配套、城市更新和遗留的国有房产规划建设8-10个社区卫生服务站，主要包括融创社区卫生服务站（约300平方米）、万科天景花园社区卫生服务站（300平方米）、凤凰御景花园社区卫生服务站（一处为300平方米，另一处建设中）、雅居乐芙蓉坊社区卫生服务站（307平方米）、天马丽苑社区卫生服务站（554平方米）、祈福辉煌台社区卫生服务站（1371平方米）、合和新城社区卫生服务站（一处为300平方米，另一处建设中）、北站安置区社区卫生服务站（691平方米）等。对村卫生站进行改造。</w:t>
            </w:r>
          </w:p>
        </w:tc>
      </w:tr>
      <w:tr w14:paraId="5BC2828C">
        <w:tblPrEx>
          <w:tblCellMar>
            <w:top w:w="15" w:type="dxa"/>
            <w:left w:w="15" w:type="dxa"/>
            <w:bottom w:w="15" w:type="dxa"/>
            <w:right w:w="15" w:type="dxa"/>
          </w:tblCellMar>
        </w:tblPrEx>
        <w:trPr>
          <w:trHeight w:val="304"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13F1E8C9">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19</w:t>
            </w:r>
          </w:p>
        </w:tc>
        <w:tc>
          <w:tcPr>
            <w:tcW w:w="1093"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14:paraId="687F8FBC">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公共卫生机构</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05124FF">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区疾病预防控制中心</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93B2D92">
            <w:pPr>
              <w:keepNext w:val="0"/>
              <w:keepLines w:val="0"/>
              <w:widowControl/>
              <w:suppressLineNumbers w:val="0"/>
              <w:adjustRightInd w:val="0"/>
              <w:snapToGrid w:val="0"/>
              <w:spacing w:before="0" w:beforeAutospacing="0" w:after="0" w:afterAutospacing="0"/>
              <w:ind w:left="0" w:right="0"/>
              <w:textAlignment w:val="center"/>
              <w:rPr>
                <w:rFonts w:hint="default" w:ascii="仿宋_GB2312" w:hAnsi="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新建区疾病预防控制中心，占地面积</w:t>
            </w:r>
            <w:r>
              <w:rPr>
                <w:rFonts w:hint="eastAsia" w:ascii="宋体" w:hAnsi="宋体"/>
                <w:color w:val="auto"/>
                <w:kern w:val="0"/>
                <w:sz w:val="20"/>
                <w:szCs w:val="20"/>
              </w:rPr>
              <w:t>＞6000平方米，建筑面积12000平方米。</w:t>
            </w:r>
          </w:p>
        </w:tc>
      </w:tr>
      <w:tr w14:paraId="6CF65CBB">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3E5C046">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20</w:t>
            </w:r>
          </w:p>
        </w:tc>
        <w:tc>
          <w:tcPr>
            <w:tcW w:w="1093" w:type="dxa"/>
            <w:vMerge w:val="continue"/>
            <w:tcBorders>
              <w:left w:val="single" w:color="auto" w:sz="4" w:space="0"/>
              <w:right w:val="single" w:color="auto" w:sz="4" w:space="0"/>
            </w:tcBorders>
            <w:noWrap w:val="0"/>
            <w:tcMar>
              <w:top w:w="12" w:type="dxa"/>
              <w:left w:w="12" w:type="dxa"/>
              <w:right w:w="12" w:type="dxa"/>
            </w:tcMar>
            <w:vAlign w:val="center"/>
          </w:tcPr>
          <w:p w14:paraId="136A861C">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bidi="ar"/>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3D68C38">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区120急救医疗指挥中心和慢病业务用房</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368AD2C">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利用秀全街学府路6号尚品雅居公配用房建设区120急救医疗指挥中心和慢病业务用房</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bidi="ar"/>
              </w:rPr>
              <w:t>区120急救医疗指挥中心面积约1300平方米</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bidi="ar"/>
              </w:rPr>
              <w:t>慢病业务用房面积约1950平方米</w:t>
            </w:r>
            <w:r>
              <w:rPr>
                <w:rFonts w:hint="eastAsia" w:ascii="仿宋_GB2312" w:hAnsi="仿宋_GB2312" w:eastAsia="仿宋_GB2312" w:cs="仿宋_GB2312"/>
                <w:color w:val="auto"/>
                <w:kern w:val="0"/>
                <w:sz w:val="21"/>
                <w:szCs w:val="21"/>
                <w:lang w:eastAsia="zh-CN" w:bidi="ar"/>
              </w:rPr>
              <w:t>。</w:t>
            </w:r>
          </w:p>
        </w:tc>
      </w:tr>
      <w:tr w14:paraId="6F124DCD">
        <w:tblPrEx>
          <w:tblCellMar>
            <w:top w:w="15" w:type="dxa"/>
            <w:left w:w="15" w:type="dxa"/>
            <w:bottom w:w="15" w:type="dxa"/>
            <w:right w:w="15" w:type="dxa"/>
          </w:tblCellMar>
        </w:tblPrEx>
        <w:trPr>
          <w:trHeight w:val="57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E68C417">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21</w:t>
            </w:r>
          </w:p>
        </w:tc>
        <w:tc>
          <w:tcPr>
            <w:tcW w:w="1093"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14:paraId="24B2F48E">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bidi="ar"/>
              </w:rPr>
            </w:pP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4BC56AC0">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fldChar w:fldCharType="begin"/>
            </w:r>
            <w:r>
              <w:rPr>
                <w:rFonts w:hint="eastAsia" w:ascii="仿宋_GB2312" w:hAnsi="仿宋_GB2312" w:eastAsia="仿宋_GB2312" w:cs="仿宋_GB2312"/>
                <w:color w:val="auto"/>
                <w:kern w:val="0"/>
                <w:sz w:val="21"/>
                <w:szCs w:val="21"/>
                <w:lang w:bidi="ar"/>
              </w:rPr>
              <w:instrText xml:space="preserve"> HYPERLINK "https://www.bidcenter.com.cn/newscontent-138399293-4.html" \o "广州血液中心花都区血站信息技术服务（广州集采）定点议价（HT-2021-00840433）合同公示--采招网" \t "https://www.bidcenter.com.cn/_blank" </w:instrText>
            </w:r>
            <w:r>
              <w:rPr>
                <w:rFonts w:hint="eastAsia" w:ascii="仿宋_GB2312" w:hAnsi="仿宋_GB2312" w:eastAsia="仿宋_GB2312" w:cs="仿宋_GB2312"/>
                <w:color w:val="auto"/>
                <w:kern w:val="0"/>
                <w:sz w:val="21"/>
                <w:szCs w:val="21"/>
                <w:lang w:bidi="ar"/>
              </w:rPr>
              <w:fldChar w:fldCharType="separate"/>
            </w:r>
            <w:r>
              <w:rPr>
                <w:rFonts w:hint="eastAsia" w:ascii="仿宋_GB2312" w:hAnsi="仿宋_GB2312" w:eastAsia="仿宋_GB2312" w:cs="仿宋_GB2312"/>
                <w:color w:val="auto"/>
                <w:kern w:val="0"/>
                <w:sz w:val="21"/>
                <w:szCs w:val="21"/>
                <w:lang w:bidi="ar"/>
              </w:rPr>
              <w:t>广州血液中心花都区血站</w:t>
            </w:r>
            <w:r>
              <w:rPr>
                <w:rFonts w:hint="eastAsia" w:ascii="仿宋_GB2312" w:hAnsi="仿宋_GB2312" w:eastAsia="仿宋_GB2312" w:cs="仿宋_GB2312"/>
                <w:color w:val="auto"/>
                <w:kern w:val="0"/>
                <w:sz w:val="21"/>
                <w:szCs w:val="21"/>
                <w:lang w:bidi="ar"/>
              </w:rPr>
              <w:fldChar w:fldCharType="end"/>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68A5A2E">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将</w:t>
            </w:r>
            <w:r>
              <w:rPr>
                <w:rFonts w:hint="eastAsia" w:ascii="仿宋_GB2312" w:hAnsi="仿宋_GB2312" w:eastAsia="仿宋_GB2312" w:cs="仿宋_GB2312"/>
                <w:color w:val="auto"/>
                <w:kern w:val="0"/>
                <w:sz w:val="21"/>
                <w:szCs w:val="21"/>
                <w:lang w:bidi="ar"/>
              </w:rPr>
              <w:fldChar w:fldCharType="begin"/>
            </w:r>
            <w:r>
              <w:rPr>
                <w:rFonts w:hint="eastAsia" w:ascii="仿宋_GB2312" w:hAnsi="仿宋_GB2312" w:eastAsia="仿宋_GB2312" w:cs="仿宋_GB2312"/>
                <w:color w:val="auto"/>
                <w:kern w:val="0"/>
                <w:sz w:val="21"/>
                <w:szCs w:val="21"/>
                <w:lang w:bidi="ar"/>
              </w:rPr>
              <w:instrText xml:space="preserve"> HYPERLINK "https://www.bidcenter.com.cn/newscontent-138399293-4.html" \o "广州血液中心花都区血站信息技术服务（广州集采）定点议价（HT-2021-00840433）合同公示--采招网" \t "https://www.bidcenter.com.cn/_blank" </w:instrText>
            </w:r>
            <w:r>
              <w:rPr>
                <w:rFonts w:hint="eastAsia" w:ascii="仿宋_GB2312" w:hAnsi="仿宋_GB2312" w:eastAsia="仿宋_GB2312" w:cs="仿宋_GB2312"/>
                <w:color w:val="auto"/>
                <w:kern w:val="0"/>
                <w:sz w:val="21"/>
                <w:szCs w:val="21"/>
                <w:lang w:bidi="ar"/>
              </w:rPr>
              <w:fldChar w:fldCharType="separate"/>
            </w:r>
            <w:r>
              <w:rPr>
                <w:rFonts w:hint="eastAsia" w:ascii="仿宋_GB2312" w:hAnsi="仿宋_GB2312" w:eastAsia="仿宋_GB2312" w:cs="仿宋_GB2312"/>
                <w:color w:val="auto"/>
                <w:kern w:val="0"/>
                <w:sz w:val="21"/>
                <w:szCs w:val="21"/>
                <w:lang w:bidi="ar"/>
              </w:rPr>
              <w:t>广州血液中心花都区血站</w:t>
            </w:r>
            <w:r>
              <w:rPr>
                <w:rFonts w:hint="eastAsia" w:ascii="仿宋_GB2312" w:hAnsi="仿宋_GB2312" w:eastAsia="仿宋_GB2312" w:cs="仿宋_GB2312"/>
                <w:color w:val="auto"/>
                <w:kern w:val="0"/>
                <w:sz w:val="21"/>
                <w:szCs w:val="21"/>
                <w:lang w:bidi="ar"/>
              </w:rPr>
              <w:fldChar w:fldCharType="end"/>
            </w:r>
            <w:r>
              <w:rPr>
                <w:rFonts w:hint="eastAsia" w:ascii="仿宋_GB2312" w:hAnsi="仿宋_GB2312" w:eastAsia="仿宋_GB2312" w:cs="仿宋_GB2312"/>
                <w:color w:val="auto"/>
                <w:kern w:val="0"/>
                <w:sz w:val="21"/>
                <w:szCs w:val="21"/>
                <w:lang w:bidi="ar"/>
              </w:rPr>
              <w:t>搬迁至</w:t>
            </w:r>
            <w:r>
              <w:rPr>
                <w:rFonts w:hint="eastAsia" w:ascii="仿宋_GB2312" w:hAnsi="仿宋_GB2312" w:eastAsia="仿宋_GB2312" w:cs="仿宋_GB2312"/>
                <w:color w:val="auto"/>
                <w:kern w:val="0"/>
                <w:sz w:val="21"/>
                <w:szCs w:val="21"/>
                <w:lang w:eastAsia="zh-CN" w:bidi="ar"/>
              </w:rPr>
              <w:t>合适的公建配套卫生用房或新建</w:t>
            </w:r>
            <w:r>
              <w:rPr>
                <w:rFonts w:hint="eastAsia" w:ascii="仿宋_GB2312" w:hAnsi="仿宋_GB2312" w:eastAsia="仿宋_GB2312" w:cs="仿宋_GB2312"/>
                <w:color w:val="auto"/>
                <w:kern w:val="0"/>
                <w:sz w:val="21"/>
                <w:szCs w:val="21"/>
                <w:lang w:bidi="ar"/>
              </w:rPr>
              <w:t>，建筑面积2400平方米</w:t>
            </w:r>
            <w:r>
              <w:rPr>
                <w:rFonts w:hint="eastAsia" w:ascii="仿宋_GB2312" w:hAnsi="仿宋_GB2312" w:eastAsia="仿宋_GB2312" w:cs="仿宋_GB2312"/>
                <w:color w:val="auto"/>
                <w:kern w:val="0"/>
                <w:sz w:val="21"/>
                <w:szCs w:val="21"/>
                <w:lang w:eastAsia="zh-CN" w:bidi="ar"/>
              </w:rPr>
              <w:t>以上。</w:t>
            </w:r>
          </w:p>
        </w:tc>
      </w:tr>
      <w:tr w14:paraId="5C97F222">
        <w:tblPrEx>
          <w:tblCellMar>
            <w:top w:w="15" w:type="dxa"/>
            <w:left w:w="15" w:type="dxa"/>
            <w:bottom w:w="15" w:type="dxa"/>
            <w:right w:w="15" w:type="dxa"/>
          </w:tblCellMar>
        </w:tblPrEx>
        <w:trPr>
          <w:trHeight w:val="582" w:hRule="atLeast"/>
        </w:trPr>
        <w:tc>
          <w:tcPr>
            <w:tcW w:w="470"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E146B2A">
            <w:pPr>
              <w:keepNext w:val="0"/>
              <w:keepLines w:val="0"/>
              <w:widowControl/>
              <w:suppressLineNumbers w:val="0"/>
              <w:adjustRightInd w:val="0"/>
              <w:snapToGrid w:val="0"/>
              <w:spacing w:before="0" w:beforeAutospacing="0" w:after="0" w:afterAutospacing="0"/>
              <w:ind w:left="0" w:right="0"/>
              <w:jc w:val="center"/>
              <w:textAlignment w:val="center"/>
              <w:rPr>
                <w:rFonts w:hint="default"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22</w:t>
            </w:r>
          </w:p>
        </w:tc>
        <w:tc>
          <w:tcPr>
            <w:tcW w:w="109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9A5EC12">
            <w:pPr>
              <w:keepNext w:val="0"/>
              <w:keepLines w:val="0"/>
              <w:widowControl/>
              <w:suppressLineNumbers w:val="0"/>
              <w:adjustRightInd w:val="0"/>
              <w:snapToGrid w:val="0"/>
              <w:spacing w:before="0" w:beforeAutospacing="0" w:after="0" w:afterAutospacing="0"/>
              <w:ind w:left="0" w:right="0"/>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w:t>
            </w:r>
          </w:p>
        </w:tc>
        <w:tc>
          <w:tcPr>
            <w:tcW w:w="2181"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AEB6786">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花都区</w:t>
            </w:r>
            <w:r>
              <w:rPr>
                <w:rFonts w:hint="eastAsia" w:ascii="仿宋_GB2312" w:hAnsi="仿宋_GB2312" w:eastAsia="仿宋_GB2312" w:cs="仿宋_GB2312"/>
                <w:color w:val="auto"/>
                <w:kern w:val="0"/>
                <w:sz w:val="21"/>
                <w:szCs w:val="21"/>
                <w:lang w:bidi="ar"/>
              </w:rPr>
              <w:t>“一站式”婚育服务中心建设</w:t>
            </w:r>
          </w:p>
        </w:tc>
        <w:tc>
          <w:tcPr>
            <w:tcW w:w="114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5896011">
            <w:pPr>
              <w:keepNext w:val="0"/>
              <w:keepLines w:val="0"/>
              <w:widowControl/>
              <w:suppressLineNumbers w:val="0"/>
              <w:adjustRightInd w:val="0"/>
              <w:snapToGrid w:val="0"/>
              <w:spacing w:before="0" w:beforeAutospacing="0" w:after="0" w:afterAutospacing="0"/>
              <w:ind w:left="0" w:right="0"/>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将花都区</w:t>
            </w:r>
            <w:r>
              <w:rPr>
                <w:rFonts w:hint="eastAsia" w:ascii="仿宋_GB2312" w:hAnsi="仿宋_GB2312" w:eastAsia="仿宋_GB2312" w:cs="仿宋_GB2312"/>
                <w:color w:val="auto"/>
                <w:kern w:val="0"/>
                <w:sz w:val="21"/>
                <w:szCs w:val="21"/>
                <w:lang w:bidi="ar"/>
              </w:rPr>
              <w:t>“一站式”婚育服务中心</w:t>
            </w:r>
            <w:r>
              <w:rPr>
                <w:rFonts w:hint="eastAsia" w:ascii="仿宋_GB2312" w:hAnsi="仿宋_GB2312" w:eastAsia="仿宋_GB2312" w:cs="仿宋_GB2312"/>
                <w:color w:val="auto"/>
                <w:kern w:val="0"/>
                <w:sz w:val="21"/>
                <w:szCs w:val="21"/>
                <w:lang w:val="en-US" w:eastAsia="zh-CN" w:bidi="ar"/>
              </w:rPr>
              <w:t>安排在</w:t>
            </w:r>
            <w:r>
              <w:rPr>
                <w:rFonts w:hint="eastAsia" w:ascii="仿宋_GB2312" w:hAnsi="仿宋_GB2312" w:eastAsia="仿宋_GB2312" w:cs="仿宋_GB2312"/>
                <w:color w:val="auto"/>
                <w:kern w:val="0"/>
                <w:sz w:val="21"/>
                <w:szCs w:val="21"/>
                <w:lang w:eastAsia="zh-CN" w:bidi="ar"/>
              </w:rPr>
              <w:t>合适的公建配套卫生用房</w:t>
            </w:r>
            <w:r>
              <w:rPr>
                <w:rFonts w:hint="eastAsia" w:ascii="仿宋_GB2312" w:hAnsi="仿宋_GB2312" w:eastAsia="仿宋_GB2312" w:cs="仿宋_GB2312"/>
                <w:color w:val="auto"/>
                <w:kern w:val="0"/>
                <w:sz w:val="21"/>
                <w:szCs w:val="21"/>
                <w:lang w:bidi="ar"/>
              </w:rPr>
              <w:t>，建筑面积</w:t>
            </w:r>
            <w:r>
              <w:rPr>
                <w:rFonts w:hint="eastAsia" w:ascii="仿宋_GB2312" w:hAnsi="仿宋_GB2312" w:eastAsia="仿宋_GB2312" w:cs="仿宋_GB2312"/>
                <w:color w:val="auto"/>
                <w:kern w:val="0"/>
                <w:sz w:val="21"/>
                <w:szCs w:val="21"/>
                <w:lang w:val="en-US" w:eastAsia="zh-CN" w:bidi="ar"/>
              </w:rPr>
              <w:t>600</w:t>
            </w:r>
            <w:r>
              <w:rPr>
                <w:rFonts w:hint="eastAsia" w:ascii="仿宋_GB2312" w:hAnsi="仿宋_GB2312" w:eastAsia="仿宋_GB2312" w:cs="仿宋_GB2312"/>
                <w:color w:val="auto"/>
                <w:kern w:val="0"/>
                <w:sz w:val="21"/>
                <w:szCs w:val="21"/>
                <w:lang w:bidi="ar"/>
              </w:rPr>
              <w:t>平方米。</w:t>
            </w:r>
          </w:p>
        </w:tc>
      </w:tr>
    </w:tbl>
    <w:p w14:paraId="4536742E">
      <w:pPr>
        <w:pStyle w:val="11"/>
        <w:widowControl/>
        <w:shd w:val="clear" w:color="auto" w:fill="FFFFFF"/>
        <w:spacing w:before="0" w:beforeAutospacing="0" w:after="0" w:afterAutospacing="0" w:line="368" w:lineRule="atLeast"/>
        <w:ind w:right="96"/>
        <w:jc w:val="both"/>
        <w:rPr>
          <w:rFonts w:hint="eastAsia" w:ascii="宋体" w:hAnsi="宋体"/>
          <w:color w:val="auto"/>
          <w:sz w:val="44"/>
        </w:rPr>
      </w:pPr>
    </w:p>
    <w:p w14:paraId="7A3AA3B1">
      <w:pPr>
        <w:pStyle w:val="19"/>
        <w:keepNext w:val="0"/>
        <w:keepLines w:val="0"/>
        <w:pageBreakBefore w:val="0"/>
        <w:widowControl w:val="0"/>
        <w:kinsoku/>
        <w:wordWrap/>
        <w:overflowPunct/>
        <w:topLinePunct w:val="0"/>
        <w:autoSpaceDE/>
        <w:autoSpaceDN/>
        <w:bidi w:val="0"/>
        <w:adjustRightInd/>
        <w:snapToGrid/>
        <w:spacing w:before="0" w:beforeAutospacing="0"/>
        <w:ind w:left="0" w:leftChars="0" w:firstLine="0" w:firstLineChars="0"/>
        <w:textAlignment w:val="auto"/>
        <w:outlineLvl w:val="9"/>
        <w:rPr>
          <w:rFonts w:hint="eastAsia" w:ascii="仿宋_GB2312" w:hAnsi="仿宋_GB2312" w:eastAsia="仿宋_GB2312" w:cs="仿宋_GB2312"/>
          <w:sz w:val="32"/>
          <w:szCs w:val="32"/>
          <w:lang w:val="en-US" w:eastAsia="zh-CN"/>
        </w:rPr>
      </w:pPr>
    </w:p>
    <w:p w14:paraId="06578A74">
      <w:pPr>
        <w:pStyle w:val="19"/>
        <w:keepNext w:val="0"/>
        <w:keepLines w:val="0"/>
        <w:pageBreakBefore w:val="0"/>
        <w:widowControl w:val="0"/>
        <w:kinsoku/>
        <w:wordWrap/>
        <w:overflowPunct/>
        <w:topLinePunct w:val="0"/>
        <w:autoSpaceDE/>
        <w:autoSpaceDN/>
        <w:bidi w:val="0"/>
        <w:adjustRightInd/>
        <w:snapToGrid/>
        <w:spacing w:before="0" w:beforeAutospacing="0"/>
        <w:ind w:left="0" w:leftChars="0" w:firstLine="0" w:firstLineChars="0"/>
        <w:textAlignment w:val="auto"/>
        <w:outlineLvl w:val="9"/>
        <w:rPr>
          <w:rFonts w:hint="eastAsia" w:ascii="仿宋_GB2312" w:hAnsi="仿宋_GB2312" w:eastAsia="仿宋_GB2312" w:cs="仿宋_GB2312"/>
          <w:sz w:val="32"/>
          <w:szCs w:val="32"/>
          <w:lang w:val="en-US" w:eastAsia="zh-CN"/>
        </w:rPr>
      </w:pPr>
    </w:p>
    <w:sectPr>
      <w:pgSz w:w="16838" w:h="11906" w:orient="landscape"/>
      <w:pgMar w:top="1587" w:right="2098" w:bottom="1474" w:left="1984" w:header="851" w:footer="992" w:gutter="0"/>
      <w:cols w:space="0" w:num="1"/>
      <w:rtlGutter w:val="0"/>
      <w:docGrid w:type="lines" w:linePitch="45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Univers (PCL6)">
    <w:altName w:val="Arial"/>
    <w:panose1 w:val="00000000000000000000"/>
    <w:charset w:val="00"/>
    <w:family w:val="auto"/>
    <w:pitch w:val="default"/>
    <w:sig w:usb0="00000000" w:usb1="00000000" w:usb2="00000000" w:usb3="00000000" w:csb0="00000001" w:csb1="00000000"/>
  </w:font>
  <w:font w:name="仿宋P裧.粛嵐.">
    <w:altName w:val="仿宋"/>
    <w:panose1 w:val="00000000000000000000"/>
    <w:charset w:val="86"/>
    <w:family w:val="roma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84B0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A70F91C">
                          <w:pPr>
                            <w:pStyle w:val="9"/>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D+SlMM0BAACnAwAADgAAAAAAAAABACAAAAAeAQAAZHJzL2Uy&#10;b0RvYy54bWxQSwUGAAAAAAYABgBZAQAAXQUAAAAA&#10;">
              <v:fill on="f" focussize="0,0"/>
              <v:stroke on="f"/>
              <v:imagedata o:title=""/>
              <o:lock v:ext="edit" aspectratio="f"/>
              <v:textbox inset="0mm,0mm,0mm,0mm" style="mso-fit-shape-to-text:t;">
                <w:txbxContent>
                  <w:p w14:paraId="5A70F91C">
                    <w:pPr>
                      <w:pStyle w:val="9"/>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03064">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BECD5"/>
    <w:multiLevelType w:val="multilevel"/>
    <w:tmpl w:val="402BECD5"/>
    <w:lvl w:ilvl="0" w:tentative="0">
      <w:start w:val="3"/>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7F164F34"/>
    <w:multiLevelType w:val="multilevel"/>
    <w:tmpl w:val="7F164F34"/>
    <w:lvl w:ilvl="0" w:tentative="0">
      <w:start w:val="8"/>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228"/>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OGEzYjk4YjFhOWI1M2YxOTBjMDMwYzk2ODI5OTkifQ=="/>
  </w:docVars>
  <w:rsids>
    <w:rsidRoot w:val="00172A27"/>
    <w:rsid w:val="00084ADE"/>
    <w:rsid w:val="001275F5"/>
    <w:rsid w:val="00265003"/>
    <w:rsid w:val="002F1241"/>
    <w:rsid w:val="0056475C"/>
    <w:rsid w:val="00605DC3"/>
    <w:rsid w:val="007A755E"/>
    <w:rsid w:val="007E2FE6"/>
    <w:rsid w:val="008A07E3"/>
    <w:rsid w:val="00CE1893"/>
    <w:rsid w:val="00E90CAE"/>
    <w:rsid w:val="00F7676D"/>
    <w:rsid w:val="01514711"/>
    <w:rsid w:val="025429F0"/>
    <w:rsid w:val="02DA500E"/>
    <w:rsid w:val="036E6F6D"/>
    <w:rsid w:val="04D62BC2"/>
    <w:rsid w:val="052E0F16"/>
    <w:rsid w:val="05755094"/>
    <w:rsid w:val="057C35B5"/>
    <w:rsid w:val="059E501B"/>
    <w:rsid w:val="06620EB6"/>
    <w:rsid w:val="06901431"/>
    <w:rsid w:val="07314EAC"/>
    <w:rsid w:val="075F6A77"/>
    <w:rsid w:val="079C3D70"/>
    <w:rsid w:val="07CD6C30"/>
    <w:rsid w:val="08E233AF"/>
    <w:rsid w:val="098D2C99"/>
    <w:rsid w:val="0A59791F"/>
    <w:rsid w:val="0AB37EF1"/>
    <w:rsid w:val="0ADA3BAA"/>
    <w:rsid w:val="0B2E6964"/>
    <w:rsid w:val="0B6A120D"/>
    <w:rsid w:val="0BAE6F75"/>
    <w:rsid w:val="0DA776CB"/>
    <w:rsid w:val="0E154784"/>
    <w:rsid w:val="0E230BAD"/>
    <w:rsid w:val="0E6332F9"/>
    <w:rsid w:val="0E8368D3"/>
    <w:rsid w:val="0EFF1096"/>
    <w:rsid w:val="0F130D85"/>
    <w:rsid w:val="0F716F1C"/>
    <w:rsid w:val="0FAB7C15"/>
    <w:rsid w:val="10816011"/>
    <w:rsid w:val="109D1151"/>
    <w:rsid w:val="10D42057"/>
    <w:rsid w:val="11CC2301"/>
    <w:rsid w:val="11E450F8"/>
    <w:rsid w:val="124527D0"/>
    <w:rsid w:val="125D5257"/>
    <w:rsid w:val="129B4166"/>
    <w:rsid w:val="14FE763A"/>
    <w:rsid w:val="15F26BC5"/>
    <w:rsid w:val="16D9162C"/>
    <w:rsid w:val="182E0BB8"/>
    <w:rsid w:val="19141B76"/>
    <w:rsid w:val="19763245"/>
    <w:rsid w:val="1997533D"/>
    <w:rsid w:val="19B31808"/>
    <w:rsid w:val="19FB13A6"/>
    <w:rsid w:val="1A454BFE"/>
    <w:rsid w:val="1A6C4096"/>
    <w:rsid w:val="1AA23488"/>
    <w:rsid w:val="1C7436A3"/>
    <w:rsid w:val="1D4C7EF0"/>
    <w:rsid w:val="1DC52462"/>
    <w:rsid w:val="1E7613E7"/>
    <w:rsid w:val="1E7E0859"/>
    <w:rsid w:val="1EFF4C42"/>
    <w:rsid w:val="1F2F572F"/>
    <w:rsid w:val="1F694CD0"/>
    <w:rsid w:val="1FA545E4"/>
    <w:rsid w:val="1FB22AC8"/>
    <w:rsid w:val="1FDD5AB5"/>
    <w:rsid w:val="203A414E"/>
    <w:rsid w:val="20685332"/>
    <w:rsid w:val="20EA1D5F"/>
    <w:rsid w:val="21A513FA"/>
    <w:rsid w:val="21EA0F26"/>
    <w:rsid w:val="21F3388E"/>
    <w:rsid w:val="22130261"/>
    <w:rsid w:val="221752E1"/>
    <w:rsid w:val="222C6396"/>
    <w:rsid w:val="223B1B03"/>
    <w:rsid w:val="225A5192"/>
    <w:rsid w:val="22627235"/>
    <w:rsid w:val="248F41BA"/>
    <w:rsid w:val="24F92FAF"/>
    <w:rsid w:val="25452016"/>
    <w:rsid w:val="25930F86"/>
    <w:rsid w:val="25C86443"/>
    <w:rsid w:val="260533E3"/>
    <w:rsid w:val="264934A5"/>
    <w:rsid w:val="29B92064"/>
    <w:rsid w:val="2B632075"/>
    <w:rsid w:val="2BFC33A4"/>
    <w:rsid w:val="2D370595"/>
    <w:rsid w:val="2DC069D8"/>
    <w:rsid w:val="2DC11217"/>
    <w:rsid w:val="2E100BDA"/>
    <w:rsid w:val="2E174D32"/>
    <w:rsid w:val="2FF764D1"/>
    <w:rsid w:val="30A2769A"/>
    <w:rsid w:val="31170F09"/>
    <w:rsid w:val="311D1150"/>
    <w:rsid w:val="31B70595"/>
    <w:rsid w:val="31E00317"/>
    <w:rsid w:val="31E7073D"/>
    <w:rsid w:val="31EB3920"/>
    <w:rsid w:val="31FF7128"/>
    <w:rsid w:val="3244364A"/>
    <w:rsid w:val="326A0BD7"/>
    <w:rsid w:val="329C5F66"/>
    <w:rsid w:val="33826BE6"/>
    <w:rsid w:val="338B357F"/>
    <w:rsid w:val="33FF4483"/>
    <w:rsid w:val="342A128B"/>
    <w:rsid w:val="34AF738F"/>
    <w:rsid w:val="35987F74"/>
    <w:rsid w:val="35A9025A"/>
    <w:rsid w:val="362F32A5"/>
    <w:rsid w:val="378111D5"/>
    <w:rsid w:val="37957944"/>
    <w:rsid w:val="37E95A15"/>
    <w:rsid w:val="37FB6EFA"/>
    <w:rsid w:val="386D67AD"/>
    <w:rsid w:val="38D66F92"/>
    <w:rsid w:val="39417274"/>
    <w:rsid w:val="3A73450A"/>
    <w:rsid w:val="3A7B6E4E"/>
    <w:rsid w:val="3AC33758"/>
    <w:rsid w:val="3BA05F64"/>
    <w:rsid w:val="3CC35F76"/>
    <w:rsid w:val="3D160C8B"/>
    <w:rsid w:val="3D275E43"/>
    <w:rsid w:val="3D640456"/>
    <w:rsid w:val="3D995F61"/>
    <w:rsid w:val="3DFE48D3"/>
    <w:rsid w:val="3FB46E3C"/>
    <w:rsid w:val="408E0A3D"/>
    <w:rsid w:val="412D5D97"/>
    <w:rsid w:val="4134500F"/>
    <w:rsid w:val="41AF6BF8"/>
    <w:rsid w:val="427D0A0E"/>
    <w:rsid w:val="42AF2871"/>
    <w:rsid w:val="43B6394A"/>
    <w:rsid w:val="43F07F16"/>
    <w:rsid w:val="4433155E"/>
    <w:rsid w:val="4466319B"/>
    <w:rsid w:val="4480467F"/>
    <w:rsid w:val="44DE739D"/>
    <w:rsid w:val="46697A08"/>
    <w:rsid w:val="469417F1"/>
    <w:rsid w:val="476A2E13"/>
    <w:rsid w:val="49716C9E"/>
    <w:rsid w:val="49901927"/>
    <w:rsid w:val="49C13D1A"/>
    <w:rsid w:val="49C90F3D"/>
    <w:rsid w:val="49F71D79"/>
    <w:rsid w:val="4AE33D24"/>
    <w:rsid w:val="4B240D7C"/>
    <w:rsid w:val="4B590E2A"/>
    <w:rsid w:val="4BAE376E"/>
    <w:rsid w:val="4EE3682F"/>
    <w:rsid w:val="4FAB159F"/>
    <w:rsid w:val="501D66D5"/>
    <w:rsid w:val="506F150D"/>
    <w:rsid w:val="50A01199"/>
    <w:rsid w:val="51282F00"/>
    <w:rsid w:val="53834CF1"/>
    <w:rsid w:val="54470746"/>
    <w:rsid w:val="54885032"/>
    <w:rsid w:val="54A85D99"/>
    <w:rsid w:val="551749CC"/>
    <w:rsid w:val="551F2E1F"/>
    <w:rsid w:val="5579439F"/>
    <w:rsid w:val="569E335B"/>
    <w:rsid w:val="57D524C2"/>
    <w:rsid w:val="59B402FA"/>
    <w:rsid w:val="5A3822F4"/>
    <w:rsid w:val="5A51340C"/>
    <w:rsid w:val="5A582707"/>
    <w:rsid w:val="5A8D6B0D"/>
    <w:rsid w:val="5C520D1C"/>
    <w:rsid w:val="5C73045C"/>
    <w:rsid w:val="5C763454"/>
    <w:rsid w:val="5D85635E"/>
    <w:rsid w:val="5D923A43"/>
    <w:rsid w:val="5DB75A71"/>
    <w:rsid w:val="5DF31F63"/>
    <w:rsid w:val="5E0A2855"/>
    <w:rsid w:val="5E0F2241"/>
    <w:rsid w:val="5E887E0A"/>
    <w:rsid w:val="5EA81BAB"/>
    <w:rsid w:val="5F032D67"/>
    <w:rsid w:val="5F505690"/>
    <w:rsid w:val="5F700DE1"/>
    <w:rsid w:val="5FF55411"/>
    <w:rsid w:val="60335B72"/>
    <w:rsid w:val="6077797F"/>
    <w:rsid w:val="60A31FFC"/>
    <w:rsid w:val="61134AE6"/>
    <w:rsid w:val="61151EA6"/>
    <w:rsid w:val="61A72568"/>
    <w:rsid w:val="6245229B"/>
    <w:rsid w:val="628732DC"/>
    <w:rsid w:val="632A17A0"/>
    <w:rsid w:val="63321276"/>
    <w:rsid w:val="6332776E"/>
    <w:rsid w:val="63DE179B"/>
    <w:rsid w:val="63E03232"/>
    <w:rsid w:val="64E725A2"/>
    <w:rsid w:val="653A4815"/>
    <w:rsid w:val="65A311A4"/>
    <w:rsid w:val="66777307"/>
    <w:rsid w:val="66E52CAD"/>
    <w:rsid w:val="66EF46DD"/>
    <w:rsid w:val="67795EEA"/>
    <w:rsid w:val="677965B3"/>
    <w:rsid w:val="67BB6C65"/>
    <w:rsid w:val="68174723"/>
    <w:rsid w:val="694273E9"/>
    <w:rsid w:val="696C5FFC"/>
    <w:rsid w:val="69C0700E"/>
    <w:rsid w:val="69CB1902"/>
    <w:rsid w:val="69DF7E2F"/>
    <w:rsid w:val="6AB960F6"/>
    <w:rsid w:val="6AD54DC6"/>
    <w:rsid w:val="6AEA2545"/>
    <w:rsid w:val="6B1F0DD7"/>
    <w:rsid w:val="6B262155"/>
    <w:rsid w:val="6B5F5E6A"/>
    <w:rsid w:val="6BB316A6"/>
    <w:rsid w:val="6C4A587C"/>
    <w:rsid w:val="6C6D29D4"/>
    <w:rsid w:val="6D701F9E"/>
    <w:rsid w:val="6D930D67"/>
    <w:rsid w:val="6E0F52E0"/>
    <w:rsid w:val="6E202840"/>
    <w:rsid w:val="6E25367B"/>
    <w:rsid w:val="6F125329"/>
    <w:rsid w:val="6F656590"/>
    <w:rsid w:val="6F6745F5"/>
    <w:rsid w:val="6FC77C49"/>
    <w:rsid w:val="70673CDA"/>
    <w:rsid w:val="70831BC3"/>
    <w:rsid w:val="72AF1D45"/>
    <w:rsid w:val="73210E73"/>
    <w:rsid w:val="73460115"/>
    <w:rsid w:val="73B4354D"/>
    <w:rsid w:val="73E91114"/>
    <w:rsid w:val="741F5D52"/>
    <w:rsid w:val="74A6554D"/>
    <w:rsid w:val="74A811BB"/>
    <w:rsid w:val="74B516E1"/>
    <w:rsid w:val="74BE6729"/>
    <w:rsid w:val="752C32B2"/>
    <w:rsid w:val="75CF07D6"/>
    <w:rsid w:val="76247EBB"/>
    <w:rsid w:val="766439C4"/>
    <w:rsid w:val="77760004"/>
    <w:rsid w:val="77BD4CBE"/>
    <w:rsid w:val="77BF4F8C"/>
    <w:rsid w:val="77E91AC0"/>
    <w:rsid w:val="782747D6"/>
    <w:rsid w:val="788960D9"/>
    <w:rsid w:val="79AC0416"/>
    <w:rsid w:val="79E44721"/>
    <w:rsid w:val="7B5248C3"/>
    <w:rsid w:val="7C4621FE"/>
    <w:rsid w:val="7C7A5497"/>
    <w:rsid w:val="7D753D29"/>
    <w:rsid w:val="7E8B601F"/>
    <w:rsid w:val="7EAF2CA0"/>
    <w:rsid w:val="7EBD41C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keepNext/>
      <w:keepLines/>
      <w:spacing w:line="576" w:lineRule="auto"/>
      <w:outlineLvl w:val="0"/>
    </w:pPr>
    <w:rPr>
      <w:b/>
      <w:kern w:val="44"/>
      <w:sz w:val="44"/>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kern w:val="0"/>
      <w:sz w:val="24"/>
      <w:szCs w:val="24"/>
      <w:lang w:val="en-US" w:eastAsia="zh-CN" w:bidi="ar"/>
    </w:rPr>
  </w:style>
  <w:style w:type="character" w:default="1" w:styleId="14">
    <w:name w:val="Default Paragraph Font"/>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unhideWhenUsed/>
    <w:qFormat/>
    <w:uiPriority w:val="99"/>
    <w:rPr>
      <w:sz w:val="28"/>
    </w:rPr>
  </w:style>
  <w:style w:type="paragraph" w:styleId="6">
    <w:name w:val="Plain Text"/>
    <w:basedOn w:val="1"/>
    <w:qFormat/>
    <w:uiPriority w:val="0"/>
    <w:rPr>
      <w:rFonts w:ascii="宋体" w:hAnsi="Courier New" w:cs="Courier New"/>
      <w:szCs w:val="21"/>
    </w:rPr>
  </w:style>
  <w:style w:type="paragraph" w:styleId="7">
    <w:name w:val="Date"/>
    <w:basedOn w:val="1"/>
    <w:next w:val="1"/>
    <w:qFormat/>
    <w:uiPriority w:val="0"/>
    <w:rPr>
      <w:rFonts w:ascii="楷体_GB2312" w:eastAsia="楷体_GB2312"/>
      <w:kern w:val="0"/>
      <w:sz w:val="32"/>
    </w:rPr>
  </w:style>
  <w:style w:type="paragraph" w:styleId="8">
    <w:name w:val="Body Text Indent 2"/>
    <w:basedOn w:val="1"/>
    <w:qFormat/>
    <w:uiPriority w:val="0"/>
    <w:pPr>
      <w:spacing w:line="520" w:lineRule="exact"/>
      <w:ind w:firstLine="630"/>
    </w:pPr>
    <w:rPr>
      <w:rFonts w:eastAsia="宋体"/>
      <w:kern w:val="2"/>
      <w:sz w:val="30"/>
      <w:lang w:val="en-US" w:eastAsia="zh-CN" w:bidi="ar-SA"/>
    </w:rPr>
  </w:style>
  <w:style w:type="paragraph" w:styleId="9">
    <w:name w:val="footer"/>
    <w:basedOn w:val="1"/>
    <w:qFormat/>
    <w:uiPriority w:val="0"/>
    <w:pPr>
      <w:tabs>
        <w:tab w:val="center" w:pos="4153"/>
        <w:tab w:val="right" w:pos="8306"/>
      </w:tabs>
      <w:snapToGrid w:val="0"/>
      <w:jc w:val="left"/>
    </w:pPr>
    <w:rPr>
      <w:kern w:val="2"/>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kern w:val="2"/>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rPr>
  </w:style>
  <w:style w:type="character" w:styleId="16">
    <w:name w:val="Hyperlink"/>
    <w:basedOn w:val="14"/>
    <w:qFormat/>
    <w:uiPriority w:val="0"/>
    <w:rPr>
      <w:color w:val="0000FF"/>
      <w:u w:val="single"/>
    </w:rPr>
  </w:style>
  <w:style w:type="paragraph" w:customStyle="1" w:styleId="17">
    <w:name w:val=" Char Char Char Char"/>
    <w:basedOn w:val="1"/>
    <w:qFormat/>
    <w:uiPriority w:val="0"/>
  </w:style>
  <w:style w:type="paragraph" w:customStyle="1" w:styleId="18">
    <w:name w:val="p0"/>
    <w:basedOn w:val="1"/>
    <w:qFormat/>
    <w:uiPriority w:val="0"/>
    <w:pPr>
      <w:widowControl/>
    </w:pPr>
    <w:rPr>
      <w:rFonts w:eastAsia="宋体"/>
      <w:kern w:val="0"/>
    </w:rPr>
  </w:style>
  <w:style w:type="paragraph" w:customStyle="1" w:styleId="19">
    <w:name w:val="正文首行缩进 21"/>
    <w:basedOn w:val="1"/>
    <w:qFormat/>
    <w:uiPriority w:val="0"/>
    <w:pPr>
      <w:spacing w:before="100" w:beforeAutospacing="1"/>
      <w:ind w:left="200" w:leftChars="200" w:firstLine="420" w:firstLineChars="200"/>
    </w:pPr>
  </w:style>
  <w:style w:type="paragraph" w:customStyle="1" w:styleId="20">
    <w:name w:val="toa heading"/>
    <w:basedOn w:val="1"/>
    <w:next w:val="1"/>
    <w:qFormat/>
    <w:uiPriority w:val="0"/>
    <w:pPr>
      <w:tabs>
        <w:tab w:val="right" w:pos="9360"/>
      </w:tabs>
      <w:suppressAutoHyphens/>
      <w:autoSpaceDE w:val="0"/>
      <w:autoSpaceDN w:val="0"/>
      <w:adjustRightInd w:val="0"/>
      <w:jc w:val="left"/>
    </w:pPr>
    <w:rPr>
      <w:rFonts w:ascii="Univers (PCL6)" w:hAnsi="Univers (PCL6)"/>
      <w:kern w:val="0"/>
      <w:sz w:val="20"/>
    </w:rPr>
  </w:style>
  <w:style w:type="paragraph" w:customStyle="1" w:styleId="21">
    <w:name w:val="Default"/>
    <w:unhideWhenUsed/>
    <w:qFormat/>
    <w:uiPriority w:val="99"/>
    <w:pPr>
      <w:widowControl w:val="0"/>
      <w:autoSpaceDE w:val="0"/>
      <w:autoSpaceDN w:val="0"/>
      <w:adjustRightInd w:val="0"/>
      <w:spacing w:beforeLines="0" w:afterLines="0"/>
    </w:pPr>
    <w:rPr>
      <w:rFonts w:hint="eastAsia" w:ascii="仿宋P裧.粛嵐." w:hAnsi="仿宋P裧.粛嵐." w:eastAsia="仿宋P裧.粛嵐." w:cs="Times New Roman"/>
      <w:color w:val="000000"/>
      <w:sz w:val="24"/>
    </w:rPr>
  </w:style>
  <w:style w:type="paragraph" w:customStyle="1" w:styleId="22">
    <w:name w:val="正文 A"/>
    <w:qFormat/>
    <w:uiPriority w:val="0"/>
    <w:pPr>
      <w:pBdr>
        <w:top w:val="none" w:color="auto" w:sz="0" w:space="0"/>
        <w:left w:val="none" w:color="auto" w:sz="0" w:space="0"/>
        <w:bottom w:val="none" w:color="auto" w:sz="0" w:space="0"/>
        <w:right w:val="none" w:color="auto" w:sz="0" w:space="0"/>
        <w:between w:val="none" w:color="auto" w:sz="0" w:space="0"/>
      </w:pBdr>
      <w:spacing w:line="500" w:lineRule="exact"/>
      <w:jc w:val="center"/>
    </w:pPr>
    <w:rPr>
      <w:rFonts w:ascii="华文中宋" w:hAnsi="华文中宋" w:eastAsia="华文中宋" w:cs="华文中宋"/>
      <w:color w:val="000000"/>
      <w:sz w:val="44"/>
      <w:szCs w:val="44"/>
      <w:u w:val="none" w:color="000000"/>
      <w:lang w:val="zh-TW" w:eastAsia="zh-TW" w:bidi="ar-SA"/>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WPSOffice手动目录 2"/>
    <w:qFormat/>
    <w:uiPriority w:val="0"/>
    <w:pPr>
      <w:ind w:leftChars="200"/>
    </w:pPr>
    <w:rPr>
      <w:rFonts w:ascii="Times New Roman" w:hAnsi="Times New Roman" w:eastAsia="宋体" w:cs="Times New Roman"/>
      <w:sz w:val="20"/>
      <w:szCs w:val="20"/>
    </w:rPr>
  </w:style>
  <w:style w:type="character" w:customStyle="1" w:styleId="25">
    <w:name w:val="15"/>
    <w:basedOn w:val="14"/>
    <w:qFormat/>
    <w:uiPriority w:val="0"/>
    <w:rPr>
      <w:rFonts w:hint="default" w:ascii="Times New Roman" w:hAnsi="Times New Roman" w:cs="Times New Roman"/>
      <w:b/>
    </w:rPr>
  </w:style>
  <w:style w:type="character" w:customStyle="1" w:styleId="26">
    <w:name w:val="10"/>
    <w:basedOn w:val="1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15003</Words>
  <Characters>15453</Characters>
  <Lines>1</Lines>
  <Paragraphs>1</Paragraphs>
  <TotalTime>5</TotalTime>
  <ScaleCrop>false</ScaleCrop>
  <LinksUpToDate>false</LinksUpToDate>
  <CharactersWithSpaces>15488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2012-10-09T02:33:00Z</dcterms:created>
  <dc:creator>guest</dc:creator>
  <cp:lastModifiedBy>ゴースト·bliss</cp:lastModifiedBy>
  <cp:lastPrinted>2017-08-30T08:30:00Z</cp:lastPrinted>
  <dcterms:modified xsi:type="dcterms:W3CDTF">2025-08-11T01:56:58Z</dcterms:modified>
  <dc:title>项 目 名 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7EE80AAA3F6F44C9A8F7E8F5A95A3EBA_13</vt:lpwstr>
  </property>
  <property fmtid="{D5CDD505-2E9C-101B-9397-08002B2CF9AE}" pid="4" name="KSOTemplateDocerSaveRecord">
    <vt:lpwstr>eyJoZGlkIjoiYWJlZjI0MjVjMjQ3YWM4MTI4OWRmOTk0ZTQyMzE1ZTAiLCJ1c2VySWQiOiIyOTU4NTQyNTgifQ==</vt:lpwstr>
  </property>
</Properties>
</file>